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r w:rsidR="00235A9E">
        <w:rPr>
          <w:b/>
          <w:sz w:val="18"/>
          <w:szCs w:val="18"/>
        </w:rPr>
        <w:t xml:space="preserve">Vigalex Max </w:t>
      </w:r>
      <w:r w:rsidR="00DA135D">
        <w:rPr>
          <w:b/>
          <w:sz w:val="18"/>
          <w:szCs w:val="18"/>
        </w:rPr>
        <w:t xml:space="preserve"> </w:t>
      </w:r>
      <w:r w:rsidR="00DF2651">
        <w:rPr>
          <w:b/>
          <w:sz w:val="18"/>
          <w:szCs w:val="18"/>
        </w:rPr>
        <w:t xml:space="preserve"> 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E517C" w:rsidRPr="000F72B1" w:rsidRDefault="00DE517C" w:rsidP="000F72B1">
      <w:pPr>
        <w:suppressAutoHyphens w:val="0"/>
        <w:rPr>
          <w:bCs/>
          <w:sz w:val="18"/>
          <w:szCs w:val="18"/>
        </w:rPr>
      </w:pPr>
      <w:r w:rsidRPr="00DE517C">
        <w:rPr>
          <w:b/>
          <w:bCs/>
          <w:sz w:val="18"/>
          <w:szCs w:val="18"/>
        </w:rPr>
        <w:t>Vigalex Max (4000 IU):</w:t>
      </w:r>
      <w:r w:rsidRPr="00DE517C">
        <w:rPr>
          <w:bCs/>
          <w:sz w:val="18"/>
          <w:szCs w:val="18"/>
        </w:rPr>
        <w:t xml:space="preserve"> Jedna tabletka zawiera 40 mg cholekalcyferolu, proszku, co odpowiada 0,1 mg cholekalcyferolu (witaminy D</w:t>
      </w:r>
      <w:r w:rsidRPr="00EB4645">
        <w:rPr>
          <w:bCs/>
          <w:sz w:val="18"/>
          <w:szCs w:val="18"/>
          <w:vertAlign w:val="subscript"/>
        </w:rPr>
        <w:t>3</w:t>
      </w:r>
      <w:r w:rsidRPr="00DE517C">
        <w:rPr>
          <w:bCs/>
          <w:sz w:val="18"/>
          <w:szCs w:val="18"/>
        </w:rPr>
        <w:t>).</w:t>
      </w:r>
      <w:r w:rsidR="00F64470">
        <w:rPr>
          <w:bCs/>
          <w:sz w:val="18"/>
          <w:szCs w:val="18"/>
        </w:rPr>
        <w:t xml:space="preserve"> </w:t>
      </w:r>
      <w:r w:rsidR="00F64470" w:rsidRPr="00F64470">
        <w:rPr>
          <w:bCs/>
          <w:sz w:val="18"/>
          <w:szCs w:val="18"/>
          <w:u w:val="single"/>
        </w:rPr>
        <w:t>Substancja pomocnicza o znanym działaniu</w:t>
      </w:r>
      <w:r w:rsidR="00F64470" w:rsidRPr="00F64470">
        <w:rPr>
          <w:bCs/>
          <w:sz w:val="18"/>
          <w:szCs w:val="18"/>
        </w:rPr>
        <w:t>: Każda tabletka zawiera 7 </w:t>
      </w:r>
      <w:r w:rsidR="00F64470">
        <w:rPr>
          <w:bCs/>
          <w:sz w:val="18"/>
          <w:szCs w:val="18"/>
        </w:rPr>
        <w:t>mg sacharozy.</w:t>
      </w:r>
    </w:p>
    <w:p w:rsidR="00D54A88" w:rsidRPr="00DF2651" w:rsidRDefault="00D54A88" w:rsidP="00235A9E">
      <w:pPr>
        <w:suppressAutoHyphens w:val="0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Pr="00DF2651">
        <w:rPr>
          <w:bCs/>
          <w:sz w:val="18"/>
          <w:szCs w:val="18"/>
        </w:rPr>
        <w:t xml:space="preserve"> </w:t>
      </w:r>
      <w:r w:rsidR="00EB4645" w:rsidRPr="00EB4645">
        <w:rPr>
          <w:bCs/>
          <w:sz w:val="18"/>
          <w:szCs w:val="18"/>
        </w:rPr>
        <w:t xml:space="preserve">Profilaktyka niedoboru witaminy D i stanów wynikających z niedoboru witaminy D (np. osteomalacja, osteoporoza) u </w:t>
      </w:r>
      <w:r w:rsidR="00F64470">
        <w:rPr>
          <w:bCs/>
          <w:sz w:val="18"/>
          <w:szCs w:val="18"/>
        </w:rPr>
        <w:t xml:space="preserve">osób </w:t>
      </w:r>
      <w:r w:rsidR="00EB4645" w:rsidRPr="00EB4645">
        <w:rPr>
          <w:bCs/>
          <w:sz w:val="18"/>
          <w:szCs w:val="18"/>
        </w:rPr>
        <w:t xml:space="preserve">dorosłych z otyłością (wskaźnik masy ciała [ang. </w:t>
      </w:r>
      <w:r w:rsidR="00EB4645" w:rsidRPr="00EB4645">
        <w:rPr>
          <w:bCs/>
          <w:i/>
          <w:sz w:val="18"/>
          <w:szCs w:val="18"/>
        </w:rPr>
        <w:t>body mass index</w:t>
      </w:r>
      <w:r w:rsidR="00EB4645" w:rsidRPr="00EB4645">
        <w:rPr>
          <w:bCs/>
          <w:sz w:val="18"/>
          <w:szCs w:val="18"/>
        </w:rPr>
        <w:t>, BMI] ≥ 30 kg/m</w:t>
      </w:r>
      <w:r w:rsidR="00EB4645" w:rsidRPr="00FA125F">
        <w:rPr>
          <w:bCs/>
          <w:sz w:val="18"/>
          <w:szCs w:val="18"/>
          <w:vertAlign w:val="superscript"/>
        </w:rPr>
        <w:t>2</w:t>
      </w:r>
      <w:r w:rsidR="00EB4645" w:rsidRPr="00EB4645">
        <w:rPr>
          <w:bCs/>
          <w:sz w:val="18"/>
          <w:szCs w:val="18"/>
        </w:rPr>
        <w:t xml:space="preserve"> </w:t>
      </w:r>
      <w:proofErr w:type="spellStart"/>
      <w:r w:rsidR="00EB4645" w:rsidRPr="00EB4645">
        <w:rPr>
          <w:bCs/>
          <w:sz w:val="18"/>
          <w:szCs w:val="18"/>
        </w:rPr>
        <w:t>pc</w:t>
      </w:r>
      <w:proofErr w:type="spellEnd"/>
      <w:r w:rsidR="00EB4645" w:rsidRPr="00EB4645">
        <w:rPr>
          <w:bCs/>
          <w:sz w:val="18"/>
          <w:szCs w:val="18"/>
        </w:rPr>
        <w:t>.)</w:t>
      </w:r>
      <w:r w:rsidR="00F64470">
        <w:rPr>
          <w:bCs/>
          <w:sz w:val="18"/>
          <w:szCs w:val="18"/>
        </w:rPr>
        <w:t xml:space="preserve"> </w:t>
      </w:r>
      <w:r w:rsidR="00F64470">
        <w:rPr>
          <w:bCs/>
          <w:sz w:val="18"/>
          <w:szCs w:val="18"/>
        </w:rPr>
        <w:br/>
      </w:r>
      <w:r w:rsidR="00F64470" w:rsidRPr="00F64470">
        <w:rPr>
          <w:bCs/>
          <w:sz w:val="18"/>
          <w:szCs w:val="18"/>
        </w:rPr>
        <w:t>i osób w podeszłym wieku (powyżej 75 lat) z nadwagą lub otyłością</w:t>
      </w:r>
      <w:r w:rsidR="00F64470">
        <w:rPr>
          <w:bCs/>
          <w:sz w:val="18"/>
          <w:szCs w:val="18"/>
        </w:rPr>
        <w:t>.</w:t>
      </w:r>
    </w:p>
    <w:p w:rsidR="00D54A88" w:rsidRPr="00235A9E" w:rsidRDefault="00D54A88" w:rsidP="00235A9E">
      <w:pPr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Przeciwwskazania</w:t>
      </w:r>
      <w:r w:rsidRPr="00235A9E">
        <w:rPr>
          <w:bCs/>
          <w:sz w:val="18"/>
          <w:szCs w:val="18"/>
        </w:rPr>
        <w:t xml:space="preserve">: </w:t>
      </w:r>
      <w:r w:rsidR="00235A9E">
        <w:rPr>
          <w:bCs/>
          <w:sz w:val="18"/>
          <w:szCs w:val="18"/>
        </w:rPr>
        <w:t>n</w:t>
      </w:r>
      <w:r w:rsidR="00235A9E" w:rsidRPr="00235A9E">
        <w:rPr>
          <w:bCs/>
          <w:sz w:val="18"/>
          <w:szCs w:val="18"/>
        </w:rPr>
        <w:t xml:space="preserve">adwrażliwość na substancję czynną (cholekalcyferol) lub na którąkolwiek substancję pomocniczą, hiperkalcemia i (lub) hiperkalciuria, </w:t>
      </w:r>
      <w:r w:rsidR="00235A9E">
        <w:rPr>
          <w:bCs/>
          <w:sz w:val="18"/>
          <w:szCs w:val="18"/>
        </w:rPr>
        <w:t>k</w:t>
      </w:r>
      <w:r w:rsidR="00235A9E" w:rsidRPr="00235A9E">
        <w:rPr>
          <w:bCs/>
          <w:sz w:val="18"/>
          <w:szCs w:val="18"/>
        </w:rPr>
        <w:t xml:space="preserve">amica nerkowa i (lub) ciężka niewydolność nerek, </w:t>
      </w:r>
      <w:r w:rsidR="00235A9E">
        <w:rPr>
          <w:bCs/>
          <w:sz w:val="18"/>
          <w:szCs w:val="18"/>
        </w:rPr>
        <w:t>r</w:t>
      </w:r>
      <w:r w:rsidR="00235A9E" w:rsidRPr="00235A9E">
        <w:rPr>
          <w:bCs/>
          <w:sz w:val="18"/>
          <w:szCs w:val="18"/>
        </w:rPr>
        <w:t>zekoma niedoczynność przytarczyc (zapotrzebowanie na witaminę D może być obniżone z powodu okresów prawidłowej wrażliwości na tę witaminę, prowadzących do przedawkowania). W tym przypadku dostępne są pochodne witaminy D łatwiejsze do kontrolowania.</w:t>
      </w:r>
      <w:r w:rsidR="00233E42">
        <w:rPr>
          <w:bCs/>
          <w:sz w:val="18"/>
          <w:szCs w:val="18"/>
        </w:rPr>
        <w:t xml:space="preserve"> </w:t>
      </w:r>
      <w:r w:rsidR="00233E42" w:rsidRPr="00233E42">
        <w:rPr>
          <w:bCs/>
          <w:sz w:val="18"/>
          <w:szCs w:val="18"/>
        </w:rPr>
        <w:t>Dzieci i młodzież w wieku poniżej 18 lat.</w:t>
      </w:r>
      <w:bookmarkStart w:id="0" w:name="_GoBack"/>
      <w:bookmarkEnd w:id="0"/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CB" w:rsidRDefault="00DA135D">
      <w:r>
        <w:separator/>
      </w:r>
    </w:p>
  </w:endnote>
  <w:endnote w:type="continuationSeparator" w:id="0">
    <w:p w:rsidR="005266CB" w:rsidRDefault="00DA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6447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6447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CB" w:rsidRDefault="00DA135D">
      <w:r>
        <w:separator/>
      </w:r>
    </w:p>
  </w:footnote>
  <w:footnote w:type="continuationSeparator" w:id="0">
    <w:p w:rsidR="005266CB" w:rsidRDefault="00DA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0F1329"/>
    <w:rsid w:val="000F72B1"/>
    <w:rsid w:val="00233E42"/>
    <w:rsid w:val="00235A9E"/>
    <w:rsid w:val="004041AC"/>
    <w:rsid w:val="00501221"/>
    <w:rsid w:val="005266CB"/>
    <w:rsid w:val="007A0629"/>
    <w:rsid w:val="00801A39"/>
    <w:rsid w:val="00AE6BA9"/>
    <w:rsid w:val="00B42CD8"/>
    <w:rsid w:val="00D54A88"/>
    <w:rsid w:val="00DA135D"/>
    <w:rsid w:val="00DE517C"/>
    <w:rsid w:val="00DF2651"/>
    <w:rsid w:val="00EA5F42"/>
    <w:rsid w:val="00EB4645"/>
    <w:rsid w:val="00F64470"/>
    <w:rsid w:val="00F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8</cp:revision>
  <dcterms:created xsi:type="dcterms:W3CDTF">2020-06-10T11:56:00Z</dcterms:created>
  <dcterms:modified xsi:type="dcterms:W3CDTF">2023-08-24T13:41:00Z</dcterms:modified>
</cp:coreProperties>
</file>