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43977" w14:textId="606FED84" w:rsidR="000931A1" w:rsidRPr="00BA60CD" w:rsidRDefault="000931A1" w:rsidP="000931A1">
      <w:pPr>
        <w:numPr>
          <w:ilvl w:val="0"/>
          <w:numId w:val="1"/>
        </w:numPr>
        <w:ind w:right="-144"/>
        <w:jc w:val="center"/>
        <w:rPr>
          <w:b/>
          <w:sz w:val="18"/>
          <w:szCs w:val="18"/>
        </w:rPr>
      </w:pPr>
      <w:r w:rsidRPr="00BA60CD">
        <w:rPr>
          <w:b/>
          <w:sz w:val="18"/>
          <w:szCs w:val="18"/>
        </w:rPr>
        <w:t xml:space="preserve">Skrócona informacja o leku: </w:t>
      </w:r>
      <w:r w:rsidR="00F0708C">
        <w:rPr>
          <w:b/>
          <w:sz w:val="18"/>
          <w:szCs w:val="18"/>
        </w:rPr>
        <w:t>Magnefar B</w:t>
      </w:r>
      <w:r w:rsidR="00F0708C" w:rsidRPr="00F0708C">
        <w:rPr>
          <w:b/>
          <w:sz w:val="18"/>
          <w:szCs w:val="18"/>
          <w:vertAlign w:val="subscript"/>
        </w:rPr>
        <w:t>6</w:t>
      </w:r>
      <w:r w:rsidR="00981E9A">
        <w:rPr>
          <w:b/>
          <w:sz w:val="18"/>
          <w:szCs w:val="18"/>
        </w:rPr>
        <w:t xml:space="preserve"> </w:t>
      </w:r>
      <w:proofErr w:type="spellStart"/>
      <w:r w:rsidR="00981E9A">
        <w:rPr>
          <w:b/>
          <w:sz w:val="18"/>
          <w:szCs w:val="18"/>
        </w:rPr>
        <w:t>Bio</w:t>
      </w:r>
      <w:proofErr w:type="spellEnd"/>
    </w:p>
    <w:p w14:paraId="715D4FC3" w14:textId="77777777" w:rsidR="000931A1" w:rsidRPr="00BA60CD" w:rsidRDefault="000931A1" w:rsidP="000931A1">
      <w:pPr>
        <w:pStyle w:val="Nagwek4"/>
        <w:numPr>
          <w:ilvl w:val="3"/>
          <w:numId w:val="1"/>
        </w:numPr>
        <w:rPr>
          <w:sz w:val="18"/>
          <w:szCs w:val="18"/>
          <w:lang w:val="pl-PL"/>
        </w:rPr>
      </w:pPr>
    </w:p>
    <w:p w14:paraId="23C9DB43" w14:textId="77777777" w:rsidR="000931A1" w:rsidRPr="00BA60CD" w:rsidRDefault="000931A1" w:rsidP="000931A1">
      <w:pPr>
        <w:rPr>
          <w:sz w:val="18"/>
          <w:szCs w:val="18"/>
        </w:rPr>
      </w:pPr>
    </w:p>
    <w:p w14:paraId="20EF230A" w14:textId="761C0D55" w:rsidR="00F0708C" w:rsidRDefault="00F0708C" w:rsidP="00F0708C">
      <w:pPr>
        <w:rPr>
          <w:b/>
          <w:bCs/>
          <w:sz w:val="18"/>
          <w:szCs w:val="18"/>
        </w:rPr>
      </w:pPr>
      <w:r>
        <w:rPr>
          <w:b/>
          <w:bCs/>
          <w:sz w:val="18"/>
          <w:szCs w:val="18"/>
        </w:rPr>
        <w:t>Magnefar B</w:t>
      </w:r>
      <w:r w:rsidRPr="00981E9A">
        <w:rPr>
          <w:b/>
          <w:bCs/>
          <w:sz w:val="18"/>
          <w:szCs w:val="18"/>
          <w:vertAlign w:val="subscript"/>
        </w:rPr>
        <w:t>6</w:t>
      </w:r>
      <w:r>
        <w:rPr>
          <w:b/>
          <w:bCs/>
          <w:sz w:val="18"/>
          <w:szCs w:val="18"/>
        </w:rPr>
        <w:t xml:space="preserve"> </w:t>
      </w:r>
      <w:proofErr w:type="spellStart"/>
      <w:r>
        <w:rPr>
          <w:b/>
          <w:bCs/>
          <w:sz w:val="18"/>
          <w:szCs w:val="18"/>
        </w:rPr>
        <w:t>Bio</w:t>
      </w:r>
      <w:proofErr w:type="spellEnd"/>
      <w:r>
        <w:rPr>
          <w:b/>
          <w:bCs/>
          <w:sz w:val="18"/>
          <w:szCs w:val="18"/>
        </w:rPr>
        <w:t xml:space="preserve">: </w:t>
      </w:r>
      <w:r w:rsidRPr="00F0708C">
        <w:rPr>
          <w:bCs/>
          <w:sz w:val="18"/>
          <w:szCs w:val="18"/>
        </w:rPr>
        <w:t>1 tabletka powlekana zawiera 60 mg jonów magnezu w postaci magnezu cytrynianu (</w:t>
      </w:r>
      <w:proofErr w:type="spellStart"/>
      <w:r w:rsidRPr="00F0708C">
        <w:rPr>
          <w:bCs/>
          <w:i/>
          <w:sz w:val="18"/>
          <w:szCs w:val="18"/>
        </w:rPr>
        <w:t>Magnesii</w:t>
      </w:r>
      <w:proofErr w:type="spellEnd"/>
      <w:r w:rsidRPr="00F0708C">
        <w:rPr>
          <w:bCs/>
          <w:i/>
          <w:sz w:val="18"/>
          <w:szCs w:val="18"/>
        </w:rPr>
        <w:t xml:space="preserve"> </w:t>
      </w:r>
      <w:proofErr w:type="spellStart"/>
      <w:r w:rsidRPr="00F0708C">
        <w:rPr>
          <w:bCs/>
          <w:i/>
          <w:sz w:val="18"/>
          <w:szCs w:val="18"/>
        </w:rPr>
        <w:t>citras</w:t>
      </w:r>
      <w:proofErr w:type="spellEnd"/>
      <w:r w:rsidRPr="00F0708C">
        <w:rPr>
          <w:bCs/>
          <w:sz w:val="18"/>
          <w:szCs w:val="18"/>
        </w:rPr>
        <w:t>) oraz 6,06 mg pirydoksyny chlorowodorku (</w:t>
      </w:r>
      <w:proofErr w:type="spellStart"/>
      <w:r w:rsidRPr="00F0708C">
        <w:rPr>
          <w:bCs/>
          <w:i/>
          <w:sz w:val="18"/>
          <w:szCs w:val="18"/>
        </w:rPr>
        <w:t>Pyridoxini</w:t>
      </w:r>
      <w:proofErr w:type="spellEnd"/>
      <w:r w:rsidRPr="00F0708C">
        <w:rPr>
          <w:bCs/>
          <w:i/>
          <w:sz w:val="18"/>
          <w:szCs w:val="18"/>
        </w:rPr>
        <w:t xml:space="preserve"> </w:t>
      </w:r>
      <w:proofErr w:type="spellStart"/>
      <w:r w:rsidRPr="00F0708C">
        <w:rPr>
          <w:bCs/>
          <w:i/>
          <w:sz w:val="18"/>
          <w:szCs w:val="18"/>
        </w:rPr>
        <w:t>hydrochloridum</w:t>
      </w:r>
      <w:proofErr w:type="spellEnd"/>
      <w:r w:rsidRPr="00F0708C">
        <w:rPr>
          <w:bCs/>
          <w:sz w:val="18"/>
          <w:szCs w:val="18"/>
        </w:rPr>
        <w:t>).</w:t>
      </w:r>
    </w:p>
    <w:p w14:paraId="6618AC49" w14:textId="2525D2CA" w:rsidR="000931A1" w:rsidRPr="00F0708C" w:rsidRDefault="000931A1" w:rsidP="00F0708C">
      <w:pPr>
        <w:jc w:val="both"/>
        <w:rPr>
          <w:bCs/>
          <w:sz w:val="18"/>
          <w:szCs w:val="18"/>
        </w:rPr>
      </w:pPr>
      <w:r w:rsidRPr="00BA60CD">
        <w:rPr>
          <w:b/>
          <w:sz w:val="18"/>
          <w:szCs w:val="18"/>
        </w:rPr>
        <w:t xml:space="preserve">Kod i grupa farmakoterapeutyczna według klasyfikacji </w:t>
      </w:r>
      <w:r w:rsidRPr="00BA60CD">
        <w:rPr>
          <w:b/>
          <w:bCs/>
          <w:sz w:val="18"/>
          <w:szCs w:val="18"/>
        </w:rPr>
        <w:t>ATC</w:t>
      </w:r>
      <w:r w:rsidRPr="00F0708C">
        <w:rPr>
          <w:bCs/>
          <w:sz w:val="18"/>
          <w:szCs w:val="18"/>
        </w:rPr>
        <w:t>:</w:t>
      </w:r>
      <w:r w:rsidR="00F0708C" w:rsidRPr="00F0708C">
        <w:t xml:space="preserve"> </w:t>
      </w:r>
      <w:r w:rsidR="00F0708C" w:rsidRPr="00F0708C">
        <w:rPr>
          <w:bCs/>
          <w:sz w:val="18"/>
          <w:szCs w:val="18"/>
        </w:rPr>
        <w:t>związk</w:t>
      </w:r>
      <w:r w:rsidR="00F0708C">
        <w:rPr>
          <w:bCs/>
          <w:sz w:val="18"/>
          <w:szCs w:val="18"/>
        </w:rPr>
        <w:t xml:space="preserve">i mineralne; preparaty magnezu, </w:t>
      </w:r>
      <w:r w:rsidR="00F0708C" w:rsidRPr="00F0708C">
        <w:rPr>
          <w:bCs/>
          <w:sz w:val="18"/>
          <w:szCs w:val="18"/>
        </w:rPr>
        <w:t>kod ATC: A12CC04</w:t>
      </w:r>
      <w:r w:rsidR="00F0708C">
        <w:rPr>
          <w:bCs/>
          <w:sz w:val="18"/>
          <w:szCs w:val="18"/>
        </w:rPr>
        <w:t>.</w:t>
      </w:r>
      <w:r w:rsidRPr="00F0708C">
        <w:rPr>
          <w:bCs/>
          <w:sz w:val="18"/>
          <w:szCs w:val="18"/>
        </w:rPr>
        <w:t xml:space="preserve"> </w:t>
      </w:r>
    </w:p>
    <w:p w14:paraId="2D2185A7" w14:textId="524FFA06" w:rsidR="00D1731C" w:rsidRDefault="000931A1" w:rsidP="00D1731C">
      <w:pPr>
        <w:suppressAutoHyphens w:val="0"/>
        <w:rPr>
          <w:b/>
          <w:bCs/>
          <w:sz w:val="18"/>
          <w:szCs w:val="18"/>
        </w:rPr>
      </w:pPr>
      <w:r w:rsidRPr="00BA60CD">
        <w:rPr>
          <w:b/>
          <w:bCs/>
          <w:sz w:val="18"/>
          <w:szCs w:val="18"/>
        </w:rPr>
        <w:t>Wskazania do stosowania:</w:t>
      </w:r>
      <w:r w:rsidR="00F0708C" w:rsidRPr="00F0708C">
        <w:t xml:space="preserve"> </w:t>
      </w:r>
      <w:r w:rsidR="00981E9A">
        <w:rPr>
          <w:bCs/>
          <w:sz w:val="18"/>
          <w:szCs w:val="18"/>
        </w:rPr>
        <w:t>Produkt leczniczy</w:t>
      </w:r>
      <w:r w:rsidR="00F0708C" w:rsidRPr="00D1731C">
        <w:rPr>
          <w:bCs/>
          <w:sz w:val="18"/>
          <w:szCs w:val="18"/>
        </w:rPr>
        <w:t xml:space="preserve"> Mag</w:t>
      </w:r>
      <w:r w:rsidR="00981E9A">
        <w:rPr>
          <w:bCs/>
          <w:sz w:val="18"/>
          <w:szCs w:val="18"/>
        </w:rPr>
        <w:t>nefar B</w:t>
      </w:r>
      <w:r w:rsidR="00981E9A" w:rsidRPr="00981E9A">
        <w:rPr>
          <w:bCs/>
          <w:sz w:val="18"/>
          <w:szCs w:val="18"/>
          <w:vertAlign w:val="subscript"/>
        </w:rPr>
        <w:t>6</w:t>
      </w:r>
      <w:r w:rsidR="00981E9A">
        <w:rPr>
          <w:bCs/>
          <w:sz w:val="18"/>
          <w:szCs w:val="18"/>
        </w:rPr>
        <w:t xml:space="preserve"> </w:t>
      </w:r>
      <w:proofErr w:type="spellStart"/>
      <w:r w:rsidR="00981E9A">
        <w:rPr>
          <w:bCs/>
          <w:sz w:val="18"/>
          <w:szCs w:val="18"/>
        </w:rPr>
        <w:t>Bio</w:t>
      </w:r>
      <w:proofErr w:type="spellEnd"/>
      <w:r w:rsidR="00981E9A">
        <w:rPr>
          <w:bCs/>
          <w:sz w:val="18"/>
          <w:szCs w:val="18"/>
        </w:rPr>
        <w:t xml:space="preserve"> jest zalecany</w:t>
      </w:r>
      <w:r w:rsidR="00F0708C" w:rsidRPr="00D1731C">
        <w:rPr>
          <w:bCs/>
          <w:sz w:val="18"/>
          <w:szCs w:val="18"/>
        </w:rPr>
        <w:t xml:space="preserve"> w leczeniu niedoboru magnezu.</w:t>
      </w:r>
      <w:r w:rsidR="00981E9A">
        <w:rPr>
          <w:bCs/>
          <w:sz w:val="18"/>
          <w:szCs w:val="18"/>
        </w:rPr>
        <w:t xml:space="preserve"> </w:t>
      </w:r>
      <w:r w:rsidR="00F0708C" w:rsidRPr="00D1731C">
        <w:rPr>
          <w:bCs/>
          <w:sz w:val="18"/>
          <w:szCs w:val="18"/>
        </w:rPr>
        <w:t>Występowanie poniżej wymienionych objawów może wskazywać na niedobór magnezu:</w:t>
      </w:r>
      <w:r w:rsidR="00D1731C" w:rsidRPr="00D1731C">
        <w:rPr>
          <w:bCs/>
          <w:sz w:val="18"/>
          <w:szCs w:val="18"/>
        </w:rPr>
        <w:t xml:space="preserve"> </w:t>
      </w:r>
      <w:r w:rsidR="00F0708C" w:rsidRPr="00D1731C">
        <w:rPr>
          <w:bCs/>
          <w:sz w:val="18"/>
          <w:szCs w:val="18"/>
        </w:rPr>
        <w:t>nerwowość, drażliwość, wahania nastroju, łagodny lęk, niepokój, przejściowe uczucie zmęczenia, ospałość, zaburzenia snu o niewielkim nasileniu;</w:t>
      </w:r>
      <w:r w:rsidR="00D1731C" w:rsidRPr="00D1731C">
        <w:rPr>
          <w:bCs/>
          <w:sz w:val="18"/>
          <w:szCs w:val="18"/>
        </w:rPr>
        <w:t xml:space="preserve"> </w:t>
      </w:r>
      <w:r w:rsidR="00F0708C" w:rsidRPr="00D1731C">
        <w:rPr>
          <w:bCs/>
          <w:sz w:val="18"/>
          <w:szCs w:val="18"/>
        </w:rPr>
        <w:t xml:space="preserve">objawy lęku, takie jak </w:t>
      </w:r>
      <w:r w:rsidR="00444902">
        <w:rPr>
          <w:bCs/>
          <w:sz w:val="18"/>
          <w:szCs w:val="18"/>
        </w:rPr>
        <w:t>s</w:t>
      </w:r>
      <w:r w:rsidR="00F0708C" w:rsidRPr="00D1731C">
        <w:rPr>
          <w:bCs/>
          <w:sz w:val="18"/>
          <w:szCs w:val="18"/>
        </w:rPr>
        <w:t>kurcze przewodu pokarmowego lub kołatanie serca (bez zaburzeń serca);</w:t>
      </w:r>
      <w:r w:rsidR="00D1731C" w:rsidRPr="00D1731C">
        <w:rPr>
          <w:bCs/>
          <w:sz w:val="18"/>
          <w:szCs w:val="18"/>
        </w:rPr>
        <w:t xml:space="preserve"> </w:t>
      </w:r>
      <w:r w:rsidR="00F0708C" w:rsidRPr="00D1731C">
        <w:rPr>
          <w:bCs/>
          <w:sz w:val="18"/>
          <w:szCs w:val="18"/>
        </w:rPr>
        <w:t>skurcze mięśni, mrowienie, drganie powiek.</w:t>
      </w:r>
      <w:r w:rsidR="00D1731C" w:rsidRPr="00D1731C">
        <w:rPr>
          <w:bCs/>
          <w:sz w:val="18"/>
          <w:szCs w:val="18"/>
        </w:rPr>
        <w:t xml:space="preserve"> </w:t>
      </w:r>
      <w:r w:rsidR="00F0708C" w:rsidRPr="00D1731C">
        <w:rPr>
          <w:bCs/>
          <w:sz w:val="18"/>
          <w:szCs w:val="18"/>
        </w:rPr>
        <w:t>Produkty należy stosować po wykluczeniu innych przyczyn objawów niż niedobór magnezu oraz gdy osiągnięcie poprawy lub zwiększenie podaży magnezu nie jest możliwe przez zastosowanie prawidłowej diety.</w:t>
      </w:r>
      <w:r w:rsidR="00D1731C">
        <w:rPr>
          <w:b/>
          <w:bCs/>
          <w:sz w:val="18"/>
          <w:szCs w:val="18"/>
        </w:rPr>
        <w:t xml:space="preserve"> </w:t>
      </w:r>
      <w:r w:rsidR="00F0708C" w:rsidRPr="00D1731C">
        <w:rPr>
          <w:bCs/>
          <w:sz w:val="18"/>
          <w:szCs w:val="18"/>
        </w:rPr>
        <w:t>W przypadku braku poprawy po miesiącu stosowania produktu leczniczego Magne</w:t>
      </w:r>
      <w:r w:rsidR="00981E9A">
        <w:rPr>
          <w:bCs/>
          <w:sz w:val="18"/>
          <w:szCs w:val="18"/>
        </w:rPr>
        <w:t>far B</w:t>
      </w:r>
      <w:r w:rsidR="00981E9A" w:rsidRPr="00981E9A">
        <w:rPr>
          <w:bCs/>
          <w:sz w:val="18"/>
          <w:szCs w:val="18"/>
          <w:vertAlign w:val="subscript"/>
        </w:rPr>
        <w:t>6</w:t>
      </w:r>
      <w:r w:rsidR="00981E9A">
        <w:rPr>
          <w:bCs/>
          <w:sz w:val="18"/>
          <w:szCs w:val="18"/>
        </w:rPr>
        <w:t xml:space="preserve"> </w:t>
      </w:r>
      <w:proofErr w:type="spellStart"/>
      <w:r w:rsidR="00981E9A">
        <w:rPr>
          <w:bCs/>
          <w:sz w:val="18"/>
          <w:szCs w:val="18"/>
        </w:rPr>
        <w:t>Bio</w:t>
      </w:r>
      <w:proofErr w:type="spellEnd"/>
      <w:r w:rsidR="00F0708C" w:rsidRPr="00D1731C">
        <w:rPr>
          <w:bCs/>
          <w:sz w:val="18"/>
          <w:szCs w:val="18"/>
        </w:rPr>
        <w:t xml:space="preserve"> kontynuowanie leczenia nie jest zalecane. </w:t>
      </w:r>
      <w:r w:rsidRPr="00BA60CD">
        <w:rPr>
          <w:b/>
          <w:bCs/>
          <w:sz w:val="18"/>
          <w:szCs w:val="18"/>
        </w:rPr>
        <w:t xml:space="preserve">Dawkowanie i sposób podawania: </w:t>
      </w:r>
    </w:p>
    <w:p w14:paraId="0FE37BD6" w14:textId="6137A067" w:rsidR="00D1731C" w:rsidRDefault="00D1731C" w:rsidP="00D1731C">
      <w:pPr>
        <w:suppressAutoHyphens w:val="0"/>
        <w:rPr>
          <w:bCs/>
          <w:sz w:val="18"/>
          <w:szCs w:val="18"/>
        </w:rPr>
      </w:pPr>
      <w:r w:rsidRPr="00D1731C">
        <w:rPr>
          <w:b/>
          <w:bCs/>
          <w:sz w:val="18"/>
          <w:szCs w:val="18"/>
        </w:rPr>
        <w:t>Magnefar B</w:t>
      </w:r>
      <w:r w:rsidRPr="00981E9A">
        <w:rPr>
          <w:b/>
          <w:bCs/>
          <w:sz w:val="18"/>
          <w:szCs w:val="18"/>
          <w:vertAlign w:val="subscript"/>
        </w:rPr>
        <w:t>6</w:t>
      </w:r>
      <w:r w:rsidRPr="00D1731C">
        <w:rPr>
          <w:b/>
          <w:bCs/>
          <w:sz w:val="18"/>
          <w:szCs w:val="18"/>
        </w:rPr>
        <w:t xml:space="preserve"> </w:t>
      </w:r>
      <w:proofErr w:type="spellStart"/>
      <w:r w:rsidRPr="00D1731C">
        <w:rPr>
          <w:b/>
          <w:bCs/>
          <w:sz w:val="18"/>
          <w:szCs w:val="18"/>
        </w:rPr>
        <w:t>Bio</w:t>
      </w:r>
      <w:proofErr w:type="spellEnd"/>
      <w:r>
        <w:rPr>
          <w:b/>
          <w:bCs/>
          <w:sz w:val="18"/>
          <w:szCs w:val="18"/>
        </w:rPr>
        <w:t xml:space="preserve">. </w:t>
      </w:r>
      <w:r w:rsidR="00656EA4">
        <w:rPr>
          <w:b/>
          <w:bCs/>
          <w:sz w:val="18"/>
          <w:szCs w:val="18"/>
        </w:rPr>
        <w:t xml:space="preserve"> </w:t>
      </w:r>
      <w:r w:rsidRPr="00D1731C">
        <w:rPr>
          <w:bCs/>
          <w:sz w:val="18"/>
          <w:szCs w:val="18"/>
          <w:u w:val="single"/>
        </w:rPr>
        <w:t>Dorośli</w:t>
      </w:r>
      <w:r w:rsidRPr="00D1731C">
        <w:rPr>
          <w:bCs/>
          <w:sz w:val="18"/>
          <w:szCs w:val="18"/>
        </w:rPr>
        <w:t xml:space="preserve">: </w:t>
      </w:r>
      <w:r w:rsidR="00444902">
        <w:rPr>
          <w:bCs/>
          <w:sz w:val="18"/>
          <w:szCs w:val="18"/>
        </w:rPr>
        <w:t xml:space="preserve">od </w:t>
      </w:r>
      <w:r w:rsidRPr="00D1731C">
        <w:rPr>
          <w:bCs/>
          <w:sz w:val="18"/>
          <w:szCs w:val="18"/>
        </w:rPr>
        <w:t>5 do 6 tabletek na dobę, w 2 lub 3 dawkach podzielonych.</w:t>
      </w:r>
      <w:r>
        <w:rPr>
          <w:b/>
          <w:bCs/>
          <w:sz w:val="18"/>
          <w:szCs w:val="18"/>
        </w:rPr>
        <w:t xml:space="preserve"> </w:t>
      </w:r>
      <w:r w:rsidRPr="00D1731C">
        <w:rPr>
          <w:bCs/>
          <w:sz w:val="18"/>
          <w:szCs w:val="18"/>
          <w:u w:val="single"/>
        </w:rPr>
        <w:t>Dzieci i młodzież:</w:t>
      </w:r>
      <w:r>
        <w:rPr>
          <w:b/>
          <w:bCs/>
          <w:sz w:val="18"/>
          <w:szCs w:val="18"/>
        </w:rPr>
        <w:t xml:space="preserve"> </w:t>
      </w:r>
      <w:r w:rsidRPr="00D1731C">
        <w:rPr>
          <w:bCs/>
          <w:sz w:val="18"/>
          <w:szCs w:val="18"/>
        </w:rPr>
        <w:t xml:space="preserve">w wieku 6 lat lub powyżej (o masie ciała powyżej 20 kg): </w:t>
      </w:r>
    </w:p>
    <w:p w14:paraId="75B108BC" w14:textId="6F4F6E24" w:rsidR="00D1731C" w:rsidRPr="00D1731C" w:rsidRDefault="00D1731C" w:rsidP="00D1731C">
      <w:pPr>
        <w:suppressAutoHyphens w:val="0"/>
        <w:rPr>
          <w:bCs/>
          <w:sz w:val="18"/>
          <w:szCs w:val="18"/>
        </w:rPr>
      </w:pPr>
      <w:r w:rsidRPr="00D1731C">
        <w:rPr>
          <w:bCs/>
          <w:sz w:val="18"/>
          <w:szCs w:val="18"/>
        </w:rPr>
        <w:t>Zalecenia dotyczące dawkowania są następujące:</w:t>
      </w:r>
    </w:p>
    <w:tbl>
      <w:tblPr>
        <w:tblStyle w:val="Tabela-Siatka"/>
        <w:tblW w:w="0" w:type="auto"/>
        <w:tblLook w:val="04A0" w:firstRow="1" w:lastRow="0" w:firstColumn="1" w:lastColumn="0" w:noHBand="0" w:noVBand="1"/>
      </w:tblPr>
      <w:tblGrid>
        <w:gridCol w:w="1554"/>
        <w:gridCol w:w="1559"/>
        <w:gridCol w:w="5946"/>
      </w:tblGrid>
      <w:tr w:rsidR="00D1731C" w:rsidRPr="00D1731C" w14:paraId="64F0836F" w14:textId="77777777" w:rsidTr="00E92DBA">
        <w:tc>
          <w:tcPr>
            <w:tcW w:w="1555" w:type="dxa"/>
          </w:tcPr>
          <w:p w14:paraId="77E2C4CF" w14:textId="77777777" w:rsidR="00D1731C" w:rsidRPr="00D1731C" w:rsidRDefault="00D1731C" w:rsidP="00D1731C">
            <w:pPr>
              <w:suppressAutoHyphens w:val="0"/>
              <w:rPr>
                <w:b/>
                <w:bCs/>
                <w:sz w:val="18"/>
                <w:szCs w:val="18"/>
              </w:rPr>
            </w:pPr>
            <w:r w:rsidRPr="00D1731C">
              <w:rPr>
                <w:b/>
                <w:bCs/>
                <w:sz w:val="18"/>
                <w:szCs w:val="18"/>
              </w:rPr>
              <w:t>Wiek</w:t>
            </w:r>
          </w:p>
        </w:tc>
        <w:tc>
          <w:tcPr>
            <w:tcW w:w="1559" w:type="dxa"/>
          </w:tcPr>
          <w:p w14:paraId="51A51E34" w14:textId="77777777" w:rsidR="00D1731C" w:rsidRPr="00D1731C" w:rsidRDefault="00D1731C" w:rsidP="00D1731C">
            <w:pPr>
              <w:suppressAutoHyphens w:val="0"/>
              <w:rPr>
                <w:b/>
                <w:bCs/>
                <w:sz w:val="18"/>
                <w:szCs w:val="18"/>
              </w:rPr>
            </w:pPr>
            <w:r w:rsidRPr="00D1731C">
              <w:rPr>
                <w:b/>
                <w:bCs/>
                <w:sz w:val="18"/>
                <w:szCs w:val="18"/>
              </w:rPr>
              <w:t>Masa ciała</w:t>
            </w:r>
          </w:p>
        </w:tc>
        <w:tc>
          <w:tcPr>
            <w:tcW w:w="5948" w:type="dxa"/>
          </w:tcPr>
          <w:p w14:paraId="46848509" w14:textId="77777777" w:rsidR="00D1731C" w:rsidRPr="00D1731C" w:rsidRDefault="00D1731C" w:rsidP="00D1731C">
            <w:pPr>
              <w:suppressAutoHyphens w:val="0"/>
              <w:rPr>
                <w:b/>
                <w:bCs/>
                <w:sz w:val="18"/>
                <w:szCs w:val="18"/>
              </w:rPr>
            </w:pPr>
            <w:r w:rsidRPr="00D1731C">
              <w:rPr>
                <w:b/>
                <w:bCs/>
                <w:sz w:val="18"/>
                <w:szCs w:val="18"/>
              </w:rPr>
              <w:t>Dawka leku</w:t>
            </w:r>
          </w:p>
        </w:tc>
      </w:tr>
      <w:tr w:rsidR="00D1731C" w:rsidRPr="00D1731C" w14:paraId="43AFDB3D" w14:textId="77777777" w:rsidTr="00E92DBA">
        <w:tc>
          <w:tcPr>
            <w:tcW w:w="1555" w:type="dxa"/>
            <w:vMerge w:val="restart"/>
          </w:tcPr>
          <w:p w14:paraId="79EF1901" w14:textId="77777777" w:rsidR="00D1731C" w:rsidRPr="001D33D9" w:rsidRDefault="00D1731C" w:rsidP="00D1731C">
            <w:pPr>
              <w:suppressAutoHyphens w:val="0"/>
              <w:rPr>
                <w:bCs/>
                <w:sz w:val="18"/>
                <w:szCs w:val="18"/>
              </w:rPr>
            </w:pPr>
            <w:r w:rsidRPr="001D33D9">
              <w:rPr>
                <w:bCs/>
                <w:sz w:val="18"/>
                <w:szCs w:val="18"/>
              </w:rPr>
              <w:t>6 - 14 lat</w:t>
            </w:r>
          </w:p>
        </w:tc>
        <w:tc>
          <w:tcPr>
            <w:tcW w:w="1559" w:type="dxa"/>
          </w:tcPr>
          <w:p w14:paraId="649F39D7" w14:textId="77777777" w:rsidR="00D1731C" w:rsidRPr="001D33D9" w:rsidRDefault="00D1731C" w:rsidP="00D1731C">
            <w:pPr>
              <w:suppressAutoHyphens w:val="0"/>
              <w:rPr>
                <w:bCs/>
                <w:sz w:val="18"/>
                <w:szCs w:val="18"/>
              </w:rPr>
            </w:pPr>
            <w:r w:rsidRPr="001D33D9">
              <w:rPr>
                <w:bCs/>
                <w:sz w:val="18"/>
                <w:szCs w:val="18"/>
              </w:rPr>
              <w:t>21 - 30 kg</w:t>
            </w:r>
          </w:p>
        </w:tc>
        <w:tc>
          <w:tcPr>
            <w:tcW w:w="5948" w:type="dxa"/>
          </w:tcPr>
          <w:p w14:paraId="4B7ADE52" w14:textId="35B224A1" w:rsidR="00D1731C" w:rsidRPr="001D33D9" w:rsidRDefault="00444902" w:rsidP="00D1731C">
            <w:pPr>
              <w:suppressAutoHyphens w:val="0"/>
              <w:rPr>
                <w:bCs/>
                <w:sz w:val="18"/>
                <w:szCs w:val="18"/>
              </w:rPr>
            </w:pPr>
            <w:r>
              <w:rPr>
                <w:bCs/>
                <w:sz w:val="18"/>
                <w:szCs w:val="18"/>
              </w:rPr>
              <w:t xml:space="preserve">Od </w:t>
            </w:r>
            <w:r w:rsidR="00D1731C" w:rsidRPr="001D33D9">
              <w:rPr>
                <w:bCs/>
                <w:sz w:val="18"/>
                <w:szCs w:val="18"/>
              </w:rPr>
              <w:t>3 do 4 tabletek na dobę, w 2 lub 3 dawkach podzielonych</w:t>
            </w:r>
          </w:p>
        </w:tc>
      </w:tr>
      <w:tr w:rsidR="00D1731C" w:rsidRPr="00D1731C" w14:paraId="4F3D65DA" w14:textId="77777777" w:rsidTr="00E92DBA">
        <w:tc>
          <w:tcPr>
            <w:tcW w:w="1555" w:type="dxa"/>
            <w:vMerge/>
          </w:tcPr>
          <w:p w14:paraId="4C7A78C5" w14:textId="77777777" w:rsidR="00D1731C" w:rsidRPr="001D33D9" w:rsidRDefault="00D1731C" w:rsidP="00D1731C">
            <w:pPr>
              <w:suppressAutoHyphens w:val="0"/>
              <w:rPr>
                <w:bCs/>
                <w:sz w:val="18"/>
                <w:szCs w:val="18"/>
              </w:rPr>
            </w:pPr>
          </w:p>
        </w:tc>
        <w:tc>
          <w:tcPr>
            <w:tcW w:w="1559" w:type="dxa"/>
          </w:tcPr>
          <w:p w14:paraId="1177ED98" w14:textId="77777777" w:rsidR="00D1731C" w:rsidRPr="001D33D9" w:rsidRDefault="00D1731C" w:rsidP="00D1731C">
            <w:pPr>
              <w:suppressAutoHyphens w:val="0"/>
              <w:rPr>
                <w:bCs/>
                <w:sz w:val="18"/>
                <w:szCs w:val="18"/>
              </w:rPr>
            </w:pPr>
            <w:r w:rsidRPr="001D33D9">
              <w:rPr>
                <w:bCs/>
                <w:sz w:val="18"/>
                <w:szCs w:val="18"/>
              </w:rPr>
              <w:t>31 - 39 kg</w:t>
            </w:r>
          </w:p>
        </w:tc>
        <w:tc>
          <w:tcPr>
            <w:tcW w:w="5948" w:type="dxa"/>
          </w:tcPr>
          <w:p w14:paraId="40E29365" w14:textId="790D7863" w:rsidR="00D1731C" w:rsidRPr="001D33D9" w:rsidRDefault="00444902" w:rsidP="00D1731C">
            <w:pPr>
              <w:suppressAutoHyphens w:val="0"/>
              <w:rPr>
                <w:bCs/>
                <w:sz w:val="18"/>
                <w:szCs w:val="18"/>
              </w:rPr>
            </w:pPr>
            <w:r>
              <w:rPr>
                <w:bCs/>
                <w:sz w:val="18"/>
                <w:szCs w:val="18"/>
              </w:rPr>
              <w:t xml:space="preserve">Od </w:t>
            </w:r>
            <w:r w:rsidR="00D1731C" w:rsidRPr="001D33D9">
              <w:rPr>
                <w:bCs/>
                <w:sz w:val="18"/>
                <w:szCs w:val="18"/>
              </w:rPr>
              <w:t>4 do 5 tabletek na dobę, w 2 lub 3 dawkach podzielonych</w:t>
            </w:r>
          </w:p>
        </w:tc>
      </w:tr>
      <w:tr w:rsidR="00D1731C" w:rsidRPr="00D1731C" w14:paraId="46F868AB" w14:textId="77777777" w:rsidTr="00E92DBA">
        <w:tc>
          <w:tcPr>
            <w:tcW w:w="1555" w:type="dxa"/>
          </w:tcPr>
          <w:p w14:paraId="01794613" w14:textId="77777777" w:rsidR="00D1731C" w:rsidRPr="001D33D9" w:rsidRDefault="00D1731C" w:rsidP="00D1731C">
            <w:pPr>
              <w:suppressAutoHyphens w:val="0"/>
              <w:rPr>
                <w:bCs/>
                <w:sz w:val="18"/>
                <w:szCs w:val="18"/>
              </w:rPr>
            </w:pPr>
            <w:r w:rsidRPr="001D33D9">
              <w:rPr>
                <w:bCs/>
                <w:sz w:val="18"/>
                <w:szCs w:val="18"/>
              </w:rPr>
              <w:t>14 - 18 lat</w:t>
            </w:r>
          </w:p>
        </w:tc>
        <w:tc>
          <w:tcPr>
            <w:tcW w:w="1559" w:type="dxa"/>
          </w:tcPr>
          <w:p w14:paraId="2481ED45" w14:textId="77777777" w:rsidR="00D1731C" w:rsidRPr="001D33D9" w:rsidRDefault="00D1731C" w:rsidP="00D1731C">
            <w:pPr>
              <w:suppressAutoHyphens w:val="0"/>
              <w:rPr>
                <w:bCs/>
                <w:sz w:val="18"/>
                <w:szCs w:val="18"/>
              </w:rPr>
            </w:pPr>
            <w:r w:rsidRPr="001D33D9">
              <w:rPr>
                <w:bCs/>
                <w:sz w:val="18"/>
                <w:szCs w:val="18"/>
              </w:rPr>
              <w:t>≥ 40 kg</w:t>
            </w:r>
          </w:p>
        </w:tc>
        <w:tc>
          <w:tcPr>
            <w:tcW w:w="5948" w:type="dxa"/>
          </w:tcPr>
          <w:p w14:paraId="2778238C" w14:textId="5F0D3E28" w:rsidR="00D1731C" w:rsidRPr="001D33D9" w:rsidRDefault="00444902" w:rsidP="00D1731C">
            <w:pPr>
              <w:suppressAutoHyphens w:val="0"/>
              <w:rPr>
                <w:bCs/>
                <w:sz w:val="18"/>
                <w:szCs w:val="18"/>
              </w:rPr>
            </w:pPr>
            <w:r>
              <w:rPr>
                <w:bCs/>
                <w:sz w:val="18"/>
                <w:szCs w:val="18"/>
              </w:rPr>
              <w:t xml:space="preserve">Od </w:t>
            </w:r>
            <w:r w:rsidR="00D1731C" w:rsidRPr="001D33D9">
              <w:rPr>
                <w:bCs/>
                <w:sz w:val="18"/>
                <w:szCs w:val="18"/>
              </w:rPr>
              <w:t>5 do 6 tabletek na dobę, w 2 lub 3 dawkach podzielonych</w:t>
            </w:r>
          </w:p>
        </w:tc>
      </w:tr>
    </w:tbl>
    <w:p w14:paraId="68560A9C" w14:textId="77777777" w:rsidR="00D1731C" w:rsidRPr="00D1731C" w:rsidRDefault="00D1731C" w:rsidP="00D1731C">
      <w:pPr>
        <w:suppressAutoHyphens w:val="0"/>
        <w:rPr>
          <w:b/>
          <w:bCs/>
          <w:sz w:val="18"/>
          <w:szCs w:val="18"/>
        </w:rPr>
      </w:pPr>
    </w:p>
    <w:p w14:paraId="46FB63E6" w14:textId="07CE45E2" w:rsidR="00DA1B0E" w:rsidRPr="00DA1B0E" w:rsidRDefault="00DA1B0E" w:rsidP="00DA1B0E">
      <w:pPr>
        <w:suppressAutoHyphens w:val="0"/>
        <w:rPr>
          <w:bCs/>
          <w:sz w:val="18"/>
          <w:szCs w:val="18"/>
        </w:rPr>
      </w:pPr>
      <w:r>
        <w:rPr>
          <w:bCs/>
          <w:sz w:val="18"/>
          <w:szCs w:val="18"/>
          <w:u w:val="single"/>
        </w:rPr>
        <w:t xml:space="preserve">Niewydolność nerek: </w:t>
      </w:r>
      <w:r>
        <w:rPr>
          <w:bCs/>
          <w:sz w:val="18"/>
          <w:szCs w:val="18"/>
        </w:rPr>
        <w:t>l</w:t>
      </w:r>
      <w:r w:rsidR="00D1731C" w:rsidRPr="00DA1B0E">
        <w:rPr>
          <w:bCs/>
          <w:sz w:val="18"/>
          <w:szCs w:val="18"/>
        </w:rPr>
        <w:t>ek jest przeciwskazany u pacjentó</w:t>
      </w:r>
      <w:r w:rsidRPr="00DA1B0E">
        <w:rPr>
          <w:bCs/>
          <w:sz w:val="18"/>
          <w:szCs w:val="18"/>
        </w:rPr>
        <w:t>w z ciężką niewydolnością nerek.</w:t>
      </w:r>
      <w:r>
        <w:rPr>
          <w:bCs/>
          <w:sz w:val="18"/>
          <w:szCs w:val="18"/>
        </w:rPr>
        <w:t xml:space="preserve"> </w:t>
      </w:r>
      <w:r w:rsidR="00D1731C" w:rsidRPr="00DA1B0E">
        <w:rPr>
          <w:bCs/>
          <w:sz w:val="18"/>
          <w:szCs w:val="18"/>
          <w:u w:val="single"/>
        </w:rPr>
        <w:t>Sposób podawania</w:t>
      </w:r>
      <w:r>
        <w:rPr>
          <w:bCs/>
          <w:sz w:val="18"/>
          <w:szCs w:val="18"/>
          <w:u w:val="single"/>
        </w:rPr>
        <w:t xml:space="preserve">: </w:t>
      </w:r>
      <w:r>
        <w:rPr>
          <w:bCs/>
          <w:sz w:val="18"/>
          <w:szCs w:val="18"/>
        </w:rPr>
        <w:t>t</w:t>
      </w:r>
      <w:r w:rsidR="00D1731C" w:rsidRPr="00DA1B0E">
        <w:rPr>
          <w:bCs/>
          <w:sz w:val="18"/>
          <w:szCs w:val="18"/>
        </w:rPr>
        <w:t>abletki należy połykać w całości, popijając dużą ilością wody.</w:t>
      </w:r>
      <w:r>
        <w:rPr>
          <w:bCs/>
          <w:sz w:val="18"/>
          <w:szCs w:val="18"/>
          <w:u w:val="single"/>
        </w:rPr>
        <w:t xml:space="preserve"> </w:t>
      </w:r>
      <w:r w:rsidR="00D1731C" w:rsidRPr="00DA1B0E">
        <w:rPr>
          <w:bCs/>
          <w:sz w:val="18"/>
          <w:szCs w:val="18"/>
        </w:rPr>
        <w:t>Tabletki należy przyjmować podczas posiłku.</w:t>
      </w:r>
      <w:r>
        <w:rPr>
          <w:bCs/>
          <w:sz w:val="18"/>
          <w:szCs w:val="18"/>
        </w:rPr>
        <w:t xml:space="preserve"> </w:t>
      </w:r>
      <w:r w:rsidR="00D1731C" w:rsidRPr="00DA1B0E">
        <w:rPr>
          <w:bCs/>
          <w:sz w:val="18"/>
          <w:szCs w:val="18"/>
        </w:rPr>
        <w:t>Zazwyczaj kuracja trwa 1 miesiąc.</w:t>
      </w:r>
      <w:r>
        <w:rPr>
          <w:bCs/>
          <w:sz w:val="18"/>
          <w:szCs w:val="18"/>
          <w:u w:val="single"/>
        </w:rPr>
        <w:t xml:space="preserve"> </w:t>
      </w:r>
      <w:r w:rsidR="000931A1" w:rsidRPr="00BA60CD">
        <w:rPr>
          <w:b/>
          <w:bCs/>
          <w:sz w:val="18"/>
          <w:szCs w:val="18"/>
        </w:rPr>
        <w:t>Przeciwwskazania:</w:t>
      </w:r>
      <w:r w:rsidRPr="00DA1B0E">
        <w:t xml:space="preserve"> </w:t>
      </w:r>
      <w:r w:rsidRPr="00DA1B0E">
        <w:rPr>
          <w:bCs/>
          <w:sz w:val="18"/>
          <w:szCs w:val="18"/>
        </w:rPr>
        <w:t>Nadwrażliwość na substancje czynne lub na którąkolwiek substancję pomocniczą.</w:t>
      </w:r>
    </w:p>
    <w:p w14:paraId="5B964E3A" w14:textId="34EC8A97" w:rsidR="00DA1B0E" w:rsidRPr="00444902" w:rsidRDefault="00DA1B0E" w:rsidP="00444902">
      <w:pPr>
        <w:suppressAutoHyphens w:val="0"/>
        <w:rPr>
          <w:bCs/>
          <w:iCs/>
          <w:sz w:val="18"/>
          <w:szCs w:val="18"/>
        </w:rPr>
      </w:pPr>
      <w:r w:rsidRPr="00DA1B0E">
        <w:rPr>
          <w:bCs/>
          <w:sz w:val="18"/>
          <w:szCs w:val="18"/>
        </w:rPr>
        <w:t>Produktu Ma</w:t>
      </w:r>
      <w:r w:rsidR="00981E9A">
        <w:rPr>
          <w:bCs/>
          <w:sz w:val="18"/>
          <w:szCs w:val="18"/>
        </w:rPr>
        <w:t>gnefar B</w:t>
      </w:r>
      <w:r w:rsidR="00981E9A" w:rsidRPr="00981E9A">
        <w:rPr>
          <w:bCs/>
          <w:sz w:val="18"/>
          <w:szCs w:val="18"/>
          <w:vertAlign w:val="subscript"/>
        </w:rPr>
        <w:t>6</w:t>
      </w:r>
      <w:r w:rsidR="00981E9A">
        <w:rPr>
          <w:bCs/>
          <w:sz w:val="18"/>
          <w:szCs w:val="18"/>
        </w:rPr>
        <w:t xml:space="preserve"> </w:t>
      </w:r>
      <w:proofErr w:type="spellStart"/>
      <w:r w:rsidR="00981E9A">
        <w:rPr>
          <w:bCs/>
          <w:sz w:val="18"/>
          <w:szCs w:val="18"/>
        </w:rPr>
        <w:t>Bio</w:t>
      </w:r>
      <w:proofErr w:type="spellEnd"/>
      <w:r w:rsidRPr="00DA1B0E">
        <w:rPr>
          <w:bCs/>
          <w:sz w:val="18"/>
          <w:szCs w:val="18"/>
        </w:rPr>
        <w:t xml:space="preserve"> nie należy stosować przy </w:t>
      </w:r>
      <w:proofErr w:type="spellStart"/>
      <w:r w:rsidRPr="00DA1B0E">
        <w:rPr>
          <w:bCs/>
          <w:sz w:val="18"/>
          <w:szCs w:val="18"/>
        </w:rPr>
        <w:t>hipermagnezemii</w:t>
      </w:r>
      <w:proofErr w:type="spellEnd"/>
      <w:r w:rsidRPr="00DA1B0E">
        <w:rPr>
          <w:bCs/>
          <w:sz w:val="18"/>
          <w:szCs w:val="18"/>
        </w:rPr>
        <w:t>, ostrej niewydolności nerek (</w:t>
      </w:r>
      <w:proofErr w:type="spellStart"/>
      <w:r w:rsidRPr="00DA1B0E">
        <w:rPr>
          <w:bCs/>
          <w:sz w:val="18"/>
          <w:szCs w:val="18"/>
        </w:rPr>
        <w:t>klirens</w:t>
      </w:r>
      <w:proofErr w:type="spellEnd"/>
      <w:r w:rsidRPr="00DA1B0E">
        <w:rPr>
          <w:bCs/>
          <w:sz w:val="18"/>
          <w:szCs w:val="18"/>
        </w:rPr>
        <w:t xml:space="preserve"> kreatyniny &lt; 30ml/min.), znacznym niedociśnieniu tętniczym, bloku przedsionkowo-komorowym oraz </w:t>
      </w:r>
      <w:proofErr w:type="spellStart"/>
      <w:r w:rsidRPr="00DA1B0E">
        <w:rPr>
          <w:bCs/>
          <w:i/>
          <w:sz w:val="18"/>
          <w:szCs w:val="18"/>
        </w:rPr>
        <w:t>myasthenia</w:t>
      </w:r>
      <w:proofErr w:type="spellEnd"/>
      <w:r w:rsidRPr="00DA1B0E">
        <w:rPr>
          <w:bCs/>
          <w:i/>
          <w:sz w:val="18"/>
          <w:szCs w:val="18"/>
        </w:rPr>
        <w:t xml:space="preserve"> </w:t>
      </w:r>
      <w:proofErr w:type="spellStart"/>
      <w:r w:rsidRPr="00DA1B0E">
        <w:rPr>
          <w:bCs/>
          <w:i/>
          <w:sz w:val="18"/>
          <w:szCs w:val="18"/>
        </w:rPr>
        <w:t>gravis</w:t>
      </w:r>
      <w:proofErr w:type="spellEnd"/>
      <w:r w:rsidRPr="00DA1B0E">
        <w:rPr>
          <w:b/>
          <w:bCs/>
          <w:sz w:val="18"/>
          <w:szCs w:val="18"/>
        </w:rPr>
        <w:t>.</w:t>
      </w:r>
      <w:r w:rsidR="000931A1" w:rsidRPr="00BA60CD">
        <w:rPr>
          <w:b/>
          <w:bCs/>
          <w:sz w:val="18"/>
          <w:szCs w:val="18"/>
        </w:rPr>
        <w:t xml:space="preserve"> </w:t>
      </w:r>
      <w:r>
        <w:rPr>
          <w:b/>
          <w:bCs/>
          <w:sz w:val="18"/>
          <w:szCs w:val="18"/>
        </w:rPr>
        <w:t xml:space="preserve"> </w:t>
      </w:r>
      <w:r w:rsidR="000931A1" w:rsidRPr="00BA60CD">
        <w:rPr>
          <w:b/>
          <w:bCs/>
          <w:iCs/>
          <w:sz w:val="18"/>
          <w:szCs w:val="18"/>
        </w:rPr>
        <w:t>Specjalne ostrzeżenia i środki ostrożności dotyczące stosowania:</w:t>
      </w:r>
      <w:r>
        <w:rPr>
          <w:b/>
          <w:bCs/>
          <w:iCs/>
          <w:sz w:val="18"/>
          <w:szCs w:val="18"/>
        </w:rPr>
        <w:t xml:space="preserve"> </w:t>
      </w:r>
      <w:r w:rsidRPr="00DA1B0E">
        <w:rPr>
          <w:bCs/>
          <w:iCs/>
          <w:sz w:val="18"/>
          <w:szCs w:val="18"/>
        </w:rPr>
        <w:t>W przypadku skojarzonego niedoboru magnezu i wapnia, w pierwszej kolejności należy wyrównać niedobór magnezu. W przypadku ciężkiego niedoboru magnezu i zaburzeń wchłaniania, leczenie należy rozpocząć od dożylnego podawania magnezu. Należy zachować szczególną ostrożność u pacjentów z umiarkowaną niewydolnością nerek ze względu na ryzyko wystąpienia wysokiego stężenia magnezu we krwi. Nie stosować u dzieci poniżej 6 lat. Długotrwałe stosowanie wysokich dawek magnezu może przyczyniać się do rozwoju próchnicy. Produkt podawany w dawce wyższej niż zalecana może powodować biegunkę. W wyniku długotrwałego stosowania magnezu może wystąpić hiperkaliemia, szczególnie u pacjentów z kontrolowanym spożyciem potasu i osłabioną funkcją nerek. Długotrwałe stosowanie pirydoksyny (kilka miesięcy, a nawet lat) może spowodować aksonalną neuropatię czuciową. Objawy obejmują: drętwienie i zaburzenia poczucia pozycji, mrowienie w dystalnych częściach kończyn, a także stopniowo postępującą ataksję sensoryczną (zaburzenia koordynacji). W większości przypadków objawy ustępują po zaprzestaniu stosowania pirydoksyny. Jeśli wystąpi działanie niepożądane, należy tymczasowo przerwać stosowanie leku, które można przywrócić po zmniejszeniu dawki i (lub) ustąpieniu objawów.</w:t>
      </w:r>
      <w:r w:rsidR="00444902" w:rsidRPr="00444902">
        <w:t xml:space="preserve"> </w:t>
      </w:r>
      <w:r w:rsidR="00444902" w:rsidRPr="00444902">
        <w:rPr>
          <w:bCs/>
          <w:iCs/>
          <w:sz w:val="18"/>
          <w:szCs w:val="18"/>
          <w:u w:val="single"/>
        </w:rPr>
        <w:t>Specjalne ostrzeżenia dotyczące substancji pomocniczych.</w:t>
      </w:r>
      <w:r w:rsidR="00444902">
        <w:rPr>
          <w:bCs/>
          <w:iCs/>
          <w:sz w:val="18"/>
          <w:szCs w:val="18"/>
        </w:rPr>
        <w:t xml:space="preserve"> </w:t>
      </w:r>
      <w:r w:rsidR="00444902" w:rsidRPr="00444902">
        <w:rPr>
          <w:bCs/>
          <w:iCs/>
          <w:sz w:val="18"/>
          <w:szCs w:val="18"/>
        </w:rPr>
        <w:t>Sód</w:t>
      </w:r>
      <w:r w:rsidR="00444902">
        <w:rPr>
          <w:bCs/>
          <w:iCs/>
          <w:sz w:val="18"/>
          <w:szCs w:val="18"/>
        </w:rPr>
        <w:t>: Produkt leczniczy</w:t>
      </w:r>
      <w:r w:rsidR="00444902" w:rsidRPr="00444902">
        <w:rPr>
          <w:bCs/>
          <w:iCs/>
          <w:sz w:val="18"/>
          <w:szCs w:val="18"/>
        </w:rPr>
        <w:t xml:space="preserve"> Magnefa</w:t>
      </w:r>
      <w:r w:rsidR="00444902">
        <w:rPr>
          <w:bCs/>
          <w:iCs/>
          <w:sz w:val="18"/>
          <w:szCs w:val="18"/>
        </w:rPr>
        <w:t xml:space="preserve">r B6 </w:t>
      </w:r>
      <w:proofErr w:type="spellStart"/>
      <w:r w:rsidR="00444902">
        <w:rPr>
          <w:bCs/>
          <w:iCs/>
          <w:sz w:val="18"/>
          <w:szCs w:val="18"/>
        </w:rPr>
        <w:t>Bio</w:t>
      </w:r>
      <w:proofErr w:type="spellEnd"/>
      <w:r w:rsidR="00444902">
        <w:rPr>
          <w:bCs/>
          <w:iCs/>
          <w:sz w:val="18"/>
          <w:szCs w:val="18"/>
        </w:rPr>
        <w:t xml:space="preserve"> </w:t>
      </w:r>
      <w:proofErr w:type="spellStart"/>
      <w:r w:rsidR="00444902">
        <w:rPr>
          <w:bCs/>
          <w:iCs/>
          <w:sz w:val="18"/>
          <w:szCs w:val="18"/>
        </w:rPr>
        <w:t>zawieraja</w:t>
      </w:r>
      <w:proofErr w:type="spellEnd"/>
      <w:r w:rsidR="00444902" w:rsidRPr="00444902">
        <w:rPr>
          <w:bCs/>
          <w:iCs/>
          <w:sz w:val="18"/>
          <w:szCs w:val="18"/>
        </w:rPr>
        <w:t xml:space="preserve"> mniej niż 1 </w:t>
      </w:r>
      <w:proofErr w:type="spellStart"/>
      <w:r w:rsidR="00444902" w:rsidRPr="00444902">
        <w:rPr>
          <w:bCs/>
          <w:iCs/>
          <w:sz w:val="18"/>
          <w:szCs w:val="18"/>
        </w:rPr>
        <w:t>mmol</w:t>
      </w:r>
      <w:proofErr w:type="spellEnd"/>
      <w:r w:rsidR="00444902" w:rsidRPr="00444902">
        <w:rPr>
          <w:bCs/>
          <w:iCs/>
          <w:sz w:val="18"/>
          <w:szCs w:val="18"/>
        </w:rPr>
        <w:t xml:space="preserve"> (23 mg) sodu w zalecanej jednostc</w:t>
      </w:r>
      <w:r w:rsidR="00444902">
        <w:rPr>
          <w:bCs/>
          <w:iCs/>
          <w:sz w:val="18"/>
          <w:szCs w:val="18"/>
        </w:rPr>
        <w:t>e dawkowania, to znaczy produkt</w:t>
      </w:r>
      <w:r w:rsidR="00444902" w:rsidRPr="00444902">
        <w:rPr>
          <w:bCs/>
          <w:iCs/>
          <w:sz w:val="18"/>
          <w:szCs w:val="18"/>
        </w:rPr>
        <w:t xml:space="preserve"> uznaje się za „wolne od sodu”.</w:t>
      </w:r>
      <w:r w:rsidR="00192976" w:rsidRPr="00DA1B0E">
        <w:rPr>
          <w:sz w:val="18"/>
          <w:szCs w:val="18"/>
        </w:rPr>
        <w:t xml:space="preserve"> </w:t>
      </w:r>
      <w:r w:rsidR="00444902">
        <w:rPr>
          <w:sz w:val="18"/>
          <w:szCs w:val="18"/>
        </w:rPr>
        <w:t xml:space="preserve"> </w:t>
      </w:r>
      <w:r w:rsidR="000931A1" w:rsidRPr="00BA60CD">
        <w:rPr>
          <w:b/>
          <w:bCs/>
          <w:sz w:val="18"/>
          <w:szCs w:val="18"/>
        </w:rPr>
        <w:t xml:space="preserve">Interakcje z innymi lekami i inne formy interakcji: </w:t>
      </w:r>
      <w:r w:rsidRPr="00C01A37">
        <w:rPr>
          <w:bCs/>
          <w:sz w:val="18"/>
          <w:szCs w:val="18"/>
        </w:rPr>
        <w:t>Ponieważ magnez i inne produkty lecznicze mogą wzajemnie wpływać na wchłanianie, w miarę możliwości należy zachować odstęp czasu wynoszący od 2 do 3 godzin.</w:t>
      </w:r>
      <w:r w:rsidR="00C01A37" w:rsidRPr="00C01A37">
        <w:rPr>
          <w:bCs/>
          <w:sz w:val="18"/>
          <w:szCs w:val="18"/>
        </w:rPr>
        <w:t xml:space="preserve"> </w:t>
      </w:r>
      <w:r w:rsidRPr="00C01A37">
        <w:rPr>
          <w:bCs/>
          <w:sz w:val="18"/>
          <w:szCs w:val="18"/>
        </w:rPr>
        <w:t xml:space="preserve">Dotyczy to szczególnie </w:t>
      </w:r>
      <w:proofErr w:type="spellStart"/>
      <w:r w:rsidRPr="00C01A37">
        <w:rPr>
          <w:bCs/>
          <w:sz w:val="18"/>
          <w:szCs w:val="18"/>
        </w:rPr>
        <w:t>fluorochinolonów</w:t>
      </w:r>
      <w:proofErr w:type="spellEnd"/>
      <w:r w:rsidRPr="00C01A37">
        <w:rPr>
          <w:bCs/>
          <w:sz w:val="18"/>
          <w:szCs w:val="18"/>
        </w:rPr>
        <w:t xml:space="preserve"> i tetracyklin oraz </w:t>
      </w:r>
      <w:proofErr w:type="spellStart"/>
      <w:r w:rsidRPr="00C01A37">
        <w:rPr>
          <w:bCs/>
          <w:sz w:val="18"/>
          <w:szCs w:val="18"/>
        </w:rPr>
        <w:t>bisfosfonianów</w:t>
      </w:r>
      <w:proofErr w:type="spellEnd"/>
      <w:r w:rsidRPr="00C01A37">
        <w:rPr>
          <w:bCs/>
          <w:sz w:val="18"/>
          <w:szCs w:val="18"/>
        </w:rPr>
        <w:t>, dla których odstęp czasu od 2 do 3 godzin powinien być ściśle przestrzegany. Fosforany, związki żelaza lub sole wapnia hamują wchłanianie magnezu w jelitach.</w:t>
      </w:r>
      <w:r w:rsidR="00C01A37" w:rsidRPr="00C01A37">
        <w:rPr>
          <w:bCs/>
          <w:sz w:val="18"/>
          <w:szCs w:val="18"/>
        </w:rPr>
        <w:t xml:space="preserve"> </w:t>
      </w:r>
      <w:r w:rsidRPr="00C01A37">
        <w:rPr>
          <w:bCs/>
          <w:sz w:val="18"/>
          <w:szCs w:val="18"/>
        </w:rPr>
        <w:t xml:space="preserve">Antybiotyki </w:t>
      </w:r>
      <w:proofErr w:type="spellStart"/>
      <w:r w:rsidRPr="00C01A37">
        <w:rPr>
          <w:bCs/>
          <w:sz w:val="18"/>
          <w:szCs w:val="18"/>
        </w:rPr>
        <w:t>aminoglikozydowe</w:t>
      </w:r>
      <w:proofErr w:type="spellEnd"/>
      <w:r w:rsidRPr="00C01A37">
        <w:rPr>
          <w:bCs/>
          <w:sz w:val="18"/>
          <w:szCs w:val="18"/>
        </w:rPr>
        <w:t xml:space="preserve">, </w:t>
      </w:r>
      <w:proofErr w:type="spellStart"/>
      <w:r w:rsidRPr="00C01A37">
        <w:rPr>
          <w:bCs/>
          <w:sz w:val="18"/>
          <w:szCs w:val="18"/>
        </w:rPr>
        <w:t>cisplatyna</w:t>
      </w:r>
      <w:proofErr w:type="spellEnd"/>
      <w:r w:rsidRPr="00C01A37">
        <w:rPr>
          <w:bCs/>
          <w:sz w:val="18"/>
          <w:szCs w:val="18"/>
        </w:rPr>
        <w:t xml:space="preserve"> i </w:t>
      </w:r>
      <w:proofErr w:type="spellStart"/>
      <w:r w:rsidRPr="00C01A37">
        <w:rPr>
          <w:bCs/>
          <w:sz w:val="18"/>
          <w:szCs w:val="18"/>
        </w:rPr>
        <w:t>cyklosporyna</w:t>
      </w:r>
      <w:proofErr w:type="spellEnd"/>
      <w:r w:rsidRPr="00C01A37">
        <w:rPr>
          <w:bCs/>
          <w:sz w:val="18"/>
          <w:szCs w:val="18"/>
        </w:rPr>
        <w:t xml:space="preserve"> A przyspieszają wydzielanie magnezu. </w:t>
      </w:r>
      <w:proofErr w:type="spellStart"/>
      <w:r w:rsidRPr="00C01A37">
        <w:rPr>
          <w:bCs/>
          <w:sz w:val="18"/>
          <w:szCs w:val="18"/>
        </w:rPr>
        <w:t>Diuretyki</w:t>
      </w:r>
      <w:proofErr w:type="spellEnd"/>
      <w:r w:rsidRPr="00C01A37">
        <w:rPr>
          <w:bCs/>
          <w:sz w:val="18"/>
          <w:szCs w:val="18"/>
        </w:rPr>
        <w:t xml:space="preserve"> (takie jak </w:t>
      </w:r>
      <w:proofErr w:type="spellStart"/>
      <w:r w:rsidRPr="00C01A37">
        <w:rPr>
          <w:bCs/>
          <w:sz w:val="18"/>
          <w:szCs w:val="18"/>
        </w:rPr>
        <w:t>tiazydy</w:t>
      </w:r>
      <w:proofErr w:type="spellEnd"/>
      <w:r w:rsidRPr="00C01A37">
        <w:rPr>
          <w:bCs/>
          <w:sz w:val="18"/>
          <w:szCs w:val="18"/>
        </w:rPr>
        <w:t xml:space="preserve"> i </w:t>
      </w:r>
      <w:proofErr w:type="spellStart"/>
      <w:r w:rsidRPr="00C01A37">
        <w:rPr>
          <w:bCs/>
          <w:sz w:val="18"/>
          <w:szCs w:val="18"/>
        </w:rPr>
        <w:t>furosemid</w:t>
      </w:r>
      <w:proofErr w:type="spellEnd"/>
      <w:r w:rsidRPr="00C01A37">
        <w:rPr>
          <w:bCs/>
          <w:sz w:val="18"/>
          <w:szCs w:val="18"/>
        </w:rPr>
        <w:t xml:space="preserve">), antagoniści receptora EGF (takie jak </w:t>
      </w:r>
      <w:proofErr w:type="spellStart"/>
      <w:r w:rsidRPr="00C01A37">
        <w:rPr>
          <w:bCs/>
          <w:sz w:val="18"/>
          <w:szCs w:val="18"/>
        </w:rPr>
        <w:t>cetuksymab</w:t>
      </w:r>
      <w:proofErr w:type="spellEnd"/>
      <w:r w:rsidRPr="00C01A37">
        <w:rPr>
          <w:bCs/>
          <w:sz w:val="18"/>
          <w:szCs w:val="18"/>
        </w:rPr>
        <w:t xml:space="preserve"> i </w:t>
      </w:r>
      <w:proofErr w:type="spellStart"/>
      <w:r w:rsidRPr="00C01A37">
        <w:rPr>
          <w:bCs/>
          <w:sz w:val="18"/>
          <w:szCs w:val="18"/>
        </w:rPr>
        <w:t>erlotynib</w:t>
      </w:r>
      <w:proofErr w:type="spellEnd"/>
      <w:r w:rsidRPr="00C01A37">
        <w:rPr>
          <w:bCs/>
          <w:sz w:val="18"/>
          <w:szCs w:val="18"/>
        </w:rPr>
        <w:t xml:space="preserve">), inhibitory pompy protonowej (takie jak </w:t>
      </w:r>
      <w:proofErr w:type="spellStart"/>
      <w:r w:rsidRPr="00C01A37">
        <w:rPr>
          <w:bCs/>
          <w:sz w:val="18"/>
          <w:szCs w:val="18"/>
        </w:rPr>
        <w:t>omeprazol</w:t>
      </w:r>
      <w:proofErr w:type="spellEnd"/>
      <w:r w:rsidRPr="00C01A37">
        <w:rPr>
          <w:bCs/>
          <w:sz w:val="18"/>
          <w:szCs w:val="18"/>
        </w:rPr>
        <w:t xml:space="preserve"> i </w:t>
      </w:r>
      <w:proofErr w:type="spellStart"/>
      <w:r w:rsidRPr="00C01A37">
        <w:rPr>
          <w:bCs/>
          <w:sz w:val="18"/>
          <w:szCs w:val="18"/>
        </w:rPr>
        <w:t>pantoprazol</w:t>
      </w:r>
      <w:proofErr w:type="spellEnd"/>
      <w:r w:rsidRPr="00C01A37">
        <w:rPr>
          <w:bCs/>
          <w:sz w:val="18"/>
          <w:szCs w:val="18"/>
        </w:rPr>
        <w:t xml:space="preserve">), inhibitory polimerazy wirusów DNA, </w:t>
      </w:r>
      <w:proofErr w:type="spellStart"/>
      <w:r w:rsidRPr="00C01A37">
        <w:rPr>
          <w:bCs/>
          <w:sz w:val="18"/>
          <w:szCs w:val="18"/>
        </w:rPr>
        <w:t>pentamidyna</w:t>
      </w:r>
      <w:proofErr w:type="spellEnd"/>
      <w:r w:rsidRPr="00C01A37">
        <w:rPr>
          <w:bCs/>
          <w:sz w:val="18"/>
          <w:szCs w:val="18"/>
        </w:rPr>
        <w:t xml:space="preserve">, </w:t>
      </w:r>
      <w:proofErr w:type="spellStart"/>
      <w:r w:rsidRPr="00C01A37">
        <w:rPr>
          <w:bCs/>
          <w:sz w:val="18"/>
          <w:szCs w:val="18"/>
        </w:rPr>
        <w:t>rapamycyna</w:t>
      </w:r>
      <w:proofErr w:type="spellEnd"/>
      <w:r w:rsidRPr="00C01A37">
        <w:rPr>
          <w:bCs/>
          <w:sz w:val="18"/>
          <w:szCs w:val="18"/>
        </w:rPr>
        <w:t xml:space="preserve"> i </w:t>
      </w:r>
      <w:proofErr w:type="spellStart"/>
      <w:r w:rsidRPr="00C01A37">
        <w:rPr>
          <w:bCs/>
          <w:sz w:val="18"/>
          <w:szCs w:val="18"/>
        </w:rPr>
        <w:t>amfoterycyna</w:t>
      </w:r>
      <w:proofErr w:type="spellEnd"/>
      <w:r w:rsidRPr="00C01A37">
        <w:rPr>
          <w:bCs/>
          <w:sz w:val="18"/>
          <w:szCs w:val="18"/>
        </w:rPr>
        <w:t xml:space="preserve"> B mogą powodować niedobór magnezu. Ze względu na zwiększone straty magnezu może być konieczne dostosowanie dawki magnezu podczas przyjmowania wyżej wymienionych substancji.</w:t>
      </w:r>
      <w:r w:rsidR="00C01A37" w:rsidRPr="00C01A37">
        <w:rPr>
          <w:bCs/>
          <w:sz w:val="18"/>
          <w:szCs w:val="18"/>
        </w:rPr>
        <w:t xml:space="preserve"> </w:t>
      </w:r>
      <w:r w:rsidRPr="00C01A37">
        <w:rPr>
          <w:bCs/>
          <w:sz w:val="18"/>
          <w:szCs w:val="18"/>
        </w:rPr>
        <w:t>Długotrwałe stosowanie doustnych środków antykoncepcyjnych lub leków przeczyszczających może powodować niedobór magnezu.</w:t>
      </w:r>
      <w:r w:rsidR="00C01A37" w:rsidRPr="00C01A37">
        <w:rPr>
          <w:bCs/>
          <w:sz w:val="18"/>
          <w:szCs w:val="18"/>
        </w:rPr>
        <w:t xml:space="preserve"> </w:t>
      </w:r>
      <w:r w:rsidRPr="00C01A37">
        <w:rPr>
          <w:bCs/>
          <w:sz w:val="18"/>
          <w:szCs w:val="18"/>
        </w:rPr>
        <w:t xml:space="preserve">Przy jednoczesnym stosowaniu preparatów magnezu z węglanem litu, </w:t>
      </w:r>
      <w:proofErr w:type="spellStart"/>
      <w:r w:rsidRPr="00C01A37">
        <w:rPr>
          <w:bCs/>
          <w:sz w:val="18"/>
          <w:szCs w:val="18"/>
        </w:rPr>
        <w:t>diuretykami</w:t>
      </w:r>
      <w:proofErr w:type="spellEnd"/>
      <w:r w:rsidRPr="00C01A37">
        <w:rPr>
          <w:bCs/>
          <w:sz w:val="18"/>
          <w:szCs w:val="18"/>
        </w:rPr>
        <w:t xml:space="preserve"> oszczędzającymi potas (</w:t>
      </w:r>
      <w:proofErr w:type="spellStart"/>
      <w:r w:rsidRPr="00C01A37">
        <w:rPr>
          <w:bCs/>
          <w:sz w:val="18"/>
          <w:szCs w:val="18"/>
        </w:rPr>
        <w:t>amiloryd</w:t>
      </w:r>
      <w:proofErr w:type="spellEnd"/>
      <w:r w:rsidRPr="00C01A37">
        <w:rPr>
          <w:bCs/>
          <w:sz w:val="18"/>
          <w:szCs w:val="18"/>
        </w:rPr>
        <w:t xml:space="preserve">, </w:t>
      </w:r>
      <w:proofErr w:type="spellStart"/>
      <w:r w:rsidRPr="00C01A37">
        <w:rPr>
          <w:bCs/>
          <w:sz w:val="18"/>
          <w:szCs w:val="18"/>
        </w:rPr>
        <w:t>spironol</w:t>
      </w:r>
      <w:r w:rsidR="00444902">
        <w:rPr>
          <w:bCs/>
          <w:sz w:val="18"/>
          <w:szCs w:val="18"/>
        </w:rPr>
        <w:t>akton</w:t>
      </w:r>
      <w:proofErr w:type="spellEnd"/>
      <w:r w:rsidR="00444902">
        <w:rPr>
          <w:bCs/>
          <w:sz w:val="18"/>
          <w:szCs w:val="18"/>
        </w:rPr>
        <w:t>)</w:t>
      </w:r>
      <w:r w:rsidR="00C01A37" w:rsidRPr="00C01A37">
        <w:rPr>
          <w:bCs/>
          <w:sz w:val="18"/>
          <w:szCs w:val="18"/>
        </w:rPr>
        <w:t xml:space="preserve"> lub z innymi produktami </w:t>
      </w:r>
      <w:r w:rsidRPr="00C01A37">
        <w:rPr>
          <w:bCs/>
          <w:sz w:val="18"/>
          <w:szCs w:val="18"/>
        </w:rPr>
        <w:t xml:space="preserve">zawierającymi magnez (takimi jak środki przeczyszczające i zobojętniające sok żołądkowy) istnieje ryzyko wystąpienia </w:t>
      </w:r>
      <w:proofErr w:type="spellStart"/>
      <w:r w:rsidRPr="00C01A37">
        <w:rPr>
          <w:bCs/>
          <w:sz w:val="18"/>
          <w:szCs w:val="18"/>
        </w:rPr>
        <w:t>hipermagnezemii</w:t>
      </w:r>
      <w:proofErr w:type="spellEnd"/>
      <w:r w:rsidRPr="00C01A37">
        <w:rPr>
          <w:bCs/>
          <w:sz w:val="18"/>
          <w:szCs w:val="18"/>
        </w:rPr>
        <w:t xml:space="preserve"> i objawów zatrucia magnezem, szczególnie u osób z niewydolnością nerek.</w:t>
      </w:r>
      <w:r w:rsidR="00C01A37" w:rsidRPr="00C01A37">
        <w:rPr>
          <w:bCs/>
          <w:sz w:val="18"/>
          <w:szCs w:val="18"/>
        </w:rPr>
        <w:t xml:space="preserve"> </w:t>
      </w:r>
      <w:r w:rsidRPr="00C01A37">
        <w:rPr>
          <w:bCs/>
          <w:sz w:val="18"/>
          <w:szCs w:val="18"/>
        </w:rPr>
        <w:t>Witamina B</w:t>
      </w:r>
      <w:r w:rsidRPr="00B67A36">
        <w:rPr>
          <w:bCs/>
          <w:sz w:val="18"/>
          <w:szCs w:val="18"/>
          <w:vertAlign w:val="subscript"/>
        </w:rPr>
        <w:t xml:space="preserve">6 </w:t>
      </w:r>
      <w:r w:rsidRPr="00C01A37">
        <w:rPr>
          <w:bCs/>
          <w:sz w:val="18"/>
          <w:szCs w:val="18"/>
        </w:rPr>
        <w:t>w dawkach nawet nieznacznie przekraczających zalecane dzienne spożycie przyspiesza metabolizm i odwraca działanie L-</w:t>
      </w:r>
      <w:proofErr w:type="spellStart"/>
      <w:r w:rsidRPr="00C01A37">
        <w:rPr>
          <w:bCs/>
          <w:sz w:val="18"/>
          <w:szCs w:val="18"/>
        </w:rPr>
        <w:t>dopy</w:t>
      </w:r>
      <w:proofErr w:type="spellEnd"/>
      <w:r w:rsidRPr="00C01A37">
        <w:rPr>
          <w:bCs/>
          <w:sz w:val="18"/>
          <w:szCs w:val="18"/>
        </w:rPr>
        <w:t xml:space="preserve"> stosowanej bez inhibitorów dekarboksylazy. </w:t>
      </w:r>
      <w:r w:rsidR="00C01A37" w:rsidRPr="00C01A37">
        <w:rPr>
          <w:bCs/>
          <w:sz w:val="18"/>
          <w:szCs w:val="18"/>
        </w:rPr>
        <w:t xml:space="preserve"> </w:t>
      </w:r>
      <w:r w:rsidRPr="00C01A37">
        <w:rPr>
          <w:bCs/>
          <w:sz w:val="18"/>
          <w:szCs w:val="18"/>
        </w:rPr>
        <w:t xml:space="preserve">Stosowanie cykloseryny, </w:t>
      </w:r>
      <w:proofErr w:type="spellStart"/>
      <w:r w:rsidRPr="00C01A37">
        <w:rPr>
          <w:bCs/>
          <w:sz w:val="18"/>
          <w:szCs w:val="18"/>
        </w:rPr>
        <w:t>hydralazyny</w:t>
      </w:r>
      <w:proofErr w:type="spellEnd"/>
      <w:r w:rsidRPr="00C01A37">
        <w:rPr>
          <w:bCs/>
          <w:sz w:val="18"/>
          <w:szCs w:val="18"/>
        </w:rPr>
        <w:t xml:space="preserve">, </w:t>
      </w:r>
      <w:proofErr w:type="spellStart"/>
      <w:r w:rsidRPr="00C01A37">
        <w:rPr>
          <w:bCs/>
          <w:sz w:val="18"/>
          <w:szCs w:val="18"/>
        </w:rPr>
        <w:t>izoniazydu</w:t>
      </w:r>
      <w:proofErr w:type="spellEnd"/>
      <w:r w:rsidRPr="00C01A37">
        <w:rPr>
          <w:bCs/>
          <w:sz w:val="18"/>
          <w:szCs w:val="18"/>
        </w:rPr>
        <w:t xml:space="preserve">, </w:t>
      </w:r>
      <w:proofErr w:type="spellStart"/>
      <w:r w:rsidRPr="00C01A37">
        <w:rPr>
          <w:bCs/>
          <w:sz w:val="18"/>
          <w:szCs w:val="18"/>
        </w:rPr>
        <w:t>penicylaminy</w:t>
      </w:r>
      <w:proofErr w:type="spellEnd"/>
      <w:r w:rsidRPr="00C01A37">
        <w:rPr>
          <w:bCs/>
          <w:sz w:val="18"/>
          <w:szCs w:val="18"/>
        </w:rPr>
        <w:t xml:space="preserve">, doustnych środków antykoncepcyjnych powoduje zmniejszanie zawartości witaminy B6 w organizmie. </w:t>
      </w:r>
    </w:p>
    <w:p w14:paraId="0A62BAC2" w14:textId="5A331612" w:rsidR="008F3CD9" w:rsidRPr="008F3CD9" w:rsidRDefault="000931A1" w:rsidP="008F3CD9">
      <w:pPr>
        <w:jc w:val="both"/>
        <w:rPr>
          <w:bCs/>
          <w:sz w:val="18"/>
          <w:szCs w:val="18"/>
        </w:rPr>
      </w:pPr>
      <w:r w:rsidRPr="00BA60CD">
        <w:rPr>
          <w:b/>
          <w:bCs/>
          <w:sz w:val="18"/>
          <w:szCs w:val="18"/>
        </w:rPr>
        <w:t xml:space="preserve">Wpływ na płodność, ciążę i laktację: </w:t>
      </w:r>
      <w:r w:rsidR="00565348">
        <w:rPr>
          <w:i/>
          <w:sz w:val="18"/>
          <w:szCs w:val="18"/>
        </w:rPr>
        <w:t>Ciąża:</w:t>
      </w:r>
      <w:r w:rsidR="00C01A37">
        <w:rPr>
          <w:sz w:val="18"/>
          <w:szCs w:val="18"/>
        </w:rPr>
        <w:t xml:space="preserve"> </w:t>
      </w:r>
      <w:r w:rsidR="00C01A37" w:rsidRPr="00C01A37">
        <w:rPr>
          <w:sz w:val="18"/>
          <w:szCs w:val="18"/>
        </w:rPr>
        <w:t>Kliniczne doświadczenia i stosowanie magnezu i witaminy B</w:t>
      </w:r>
      <w:r w:rsidR="00C01A37" w:rsidRPr="00981E9A">
        <w:rPr>
          <w:sz w:val="18"/>
          <w:szCs w:val="18"/>
          <w:vertAlign w:val="subscript"/>
        </w:rPr>
        <w:t>6</w:t>
      </w:r>
      <w:r w:rsidR="00C01A37" w:rsidRPr="00C01A37">
        <w:rPr>
          <w:sz w:val="18"/>
          <w:szCs w:val="18"/>
        </w:rPr>
        <w:t xml:space="preserve"> u wystarczająco dużej liczby ciężarnych kobiet nie ujawniły toksycznego i t</w:t>
      </w:r>
      <w:r w:rsidR="00C01A37">
        <w:rPr>
          <w:sz w:val="18"/>
          <w:szCs w:val="18"/>
        </w:rPr>
        <w:t xml:space="preserve">eratogennego działania magnezu. </w:t>
      </w:r>
      <w:r w:rsidR="00C01A37" w:rsidRPr="00C01A37">
        <w:rPr>
          <w:sz w:val="18"/>
          <w:szCs w:val="18"/>
        </w:rPr>
        <w:t>Badania na zwierzętach nie wykazały toksycznego i terat</w:t>
      </w:r>
      <w:r w:rsidR="00C01A37">
        <w:rPr>
          <w:sz w:val="18"/>
          <w:szCs w:val="18"/>
        </w:rPr>
        <w:t>ogennego działania witaminy B</w:t>
      </w:r>
      <w:r w:rsidR="00C01A37" w:rsidRPr="00981E9A">
        <w:rPr>
          <w:sz w:val="18"/>
          <w:szCs w:val="18"/>
          <w:vertAlign w:val="subscript"/>
        </w:rPr>
        <w:t>6</w:t>
      </w:r>
      <w:r w:rsidR="00C01A37">
        <w:rPr>
          <w:sz w:val="18"/>
          <w:szCs w:val="18"/>
        </w:rPr>
        <w:t xml:space="preserve">. </w:t>
      </w:r>
      <w:r w:rsidR="00C01A37" w:rsidRPr="00C01A37">
        <w:rPr>
          <w:sz w:val="18"/>
          <w:szCs w:val="18"/>
        </w:rPr>
        <w:t>Produkt można stosować u ciężarnych kobiet tylko w przypadku zdecydowanej konieczności</w:t>
      </w:r>
      <w:r w:rsidR="00115644" w:rsidRPr="00115644">
        <w:rPr>
          <w:sz w:val="18"/>
          <w:szCs w:val="18"/>
        </w:rPr>
        <w:t>.</w:t>
      </w:r>
      <w:r w:rsidR="008B74CD">
        <w:rPr>
          <w:sz w:val="18"/>
          <w:szCs w:val="18"/>
        </w:rPr>
        <w:t xml:space="preserve"> </w:t>
      </w:r>
      <w:r w:rsidR="00115644">
        <w:rPr>
          <w:i/>
          <w:sz w:val="18"/>
          <w:szCs w:val="18"/>
        </w:rPr>
        <w:t>Karmienie piersią</w:t>
      </w:r>
      <w:r w:rsidR="00C01A37">
        <w:rPr>
          <w:i/>
          <w:sz w:val="18"/>
          <w:szCs w:val="18"/>
        </w:rPr>
        <w:t>:</w:t>
      </w:r>
      <w:r w:rsidR="00C01A37" w:rsidRPr="00C01A37">
        <w:t xml:space="preserve"> </w:t>
      </w:r>
      <w:r w:rsidR="00C01A37" w:rsidRPr="00C01A37">
        <w:rPr>
          <w:sz w:val="18"/>
          <w:szCs w:val="18"/>
        </w:rPr>
        <w:t>Każdy ze składników, zarówno magnez jak i witamina B</w:t>
      </w:r>
      <w:r w:rsidR="00C01A37" w:rsidRPr="00981E9A">
        <w:rPr>
          <w:sz w:val="18"/>
          <w:szCs w:val="18"/>
          <w:vertAlign w:val="subscript"/>
        </w:rPr>
        <w:t>6</w:t>
      </w:r>
      <w:r w:rsidR="00C01A37" w:rsidRPr="00C01A37">
        <w:rPr>
          <w:sz w:val="18"/>
          <w:szCs w:val="18"/>
        </w:rPr>
        <w:t>, może być stosowa</w:t>
      </w:r>
      <w:r w:rsidR="00444902">
        <w:rPr>
          <w:sz w:val="18"/>
          <w:szCs w:val="18"/>
        </w:rPr>
        <w:t>ny w okresie</w:t>
      </w:r>
      <w:r w:rsidR="009B1DA3">
        <w:rPr>
          <w:sz w:val="18"/>
          <w:szCs w:val="18"/>
        </w:rPr>
        <w:t xml:space="preserve"> karmienia</w:t>
      </w:r>
      <w:r w:rsidR="00C01A37">
        <w:rPr>
          <w:sz w:val="18"/>
          <w:szCs w:val="18"/>
        </w:rPr>
        <w:t xml:space="preserve"> piersią. </w:t>
      </w:r>
      <w:r w:rsidR="00C01A37" w:rsidRPr="00C01A37">
        <w:rPr>
          <w:sz w:val="18"/>
          <w:szCs w:val="18"/>
        </w:rPr>
        <w:t>Odpowiednia dawka magnezu to 30 mg na dobę dla niemowląt w wieku od 0 do 6 miesięcy i 75 mg na dobę dla niemowląt w wieku od 7 do 12 miesięcy. Zawartość magnezu w mleku karmiących kobiet waha się w szerokim zakresie (od 15 do 64 mg/l) z medianą wartości 31 mg/l i 75% średnich wartości stęże</w:t>
      </w:r>
      <w:r w:rsidR="00C01A37">
        <w:rPr>
          <w:sz w:val="18"/>
          <w:szCs w:val="18"/>
        </w:rPr>
        <w:t xml:space="preserve">ń odnotowanych poniżej 35 mg/l. </w:t>
      </w:r>
      <w:r w:rsidR="00C01A37" w:rsidRPr="00C01A37">
        <w:rPr>
          <w:sz w:val="18"/>
          <w:szCs w:val="18"/>
        </w:rPr>
        <w:t xml:space="preserve">Uważa się, cytując niektórych autorów, że odpowiednia dawka pirydoksyny dla niemowląt to 0,1 mg na dobę. U dobrze odżywionych kobiet otrzymujących od 2,5 do 20 mg pirydoksyny przez 3 kolejne dni wykazano, iż jej stężenie w mleku było w zakresie od 123 do 314 </w:t>
      </w:r>
      <w:proofErr w:type="spellStart"/>
      <w:r w:rsidR="00C01A37" w:rsidRPr="00C01A37">
        <w:rPr>
          <w:sz w:val="18"/>
          <w:szCs w:val="18"/>
        </w:rPr>
        <w:t>ng</w:t>
      </w:r>
      <w:proofErr w:type="spellEnd"/>
      <w:r w:rsidR="00C01A37" w:rsidRPr="00C01A37">
        <w:rPr>
          <w:sz w:val="18"/>
          <w:szCs w:val="18"/>
        </w:rPr>
        <w:t>/ml. Zaleca się, aby kobiety karmiące piersią stosowały pirydoksynę w d</w:t>
      </w:r>
      <w:r w:rsidR="00C01A37">
        <w:rPr>
          <w:sz w:val="18"/>
          <w:szCs w:val="18"/>
        </w:rPr>
        <w:t xml:space="preserve">awce maksymalnie </w:t>
      </w:r>
      <w:r w:rsidR="00C01A37">
        <w:rPr>
          <w:sz w:val="18"/>
          <w:szCs w:val="18"/>
        </w:rPr>
        <w:lastRenderedPageBreak/>
        <w:t xml:space="preserve">20 mg na dobę. </w:t>
      </w:r>
      <w:r w:rsidR="00C01A37" w:rsidRPr="00C01A37">
        <w:rPr>
          <w:sz w:val="18"/>
          <w:szCs w:val="18"/>
        </w:rPr>
        <w:t>Przegląd dostępnych danych dotyczących stosowania magnezu i pirydoksyny w dawkach terapeutycznych u kobiet karmiących piersią nie wykazał żadny</w:t>
      </w:r>
      <w:r w:rsidR="00C01A37">
        <w:rPr>
          <w:sz w:val="18"/>
          <w:szCs w:val="18"/>
        </w:rPr>
        <w:t xml:space="preserve">ch zagrożeń dla bezpieczeństwa. </w:t>
      </w:r>
      <w:r w:rsidR="00C01A37" w:rsidRPr="00C01A37">
        <w:rPr>
          <w:sz w:val="18"/>
          <w:szCs w:val="18"/>
        </w:rPr>
        <w:t>Dodatkowa ilość magnezu obecna w mleku matki leczonej zwykle stosowanymi dawkami magnezu i pirydoksyny nie jest znacząca</w:t>
      </w:r>
      <w:r w:rsidR="00C01A37">
        <w:rPr>
          <w:i/>
          <w:sz w:val="18"/>
          <w:szCs w:val="18"/>
        </w:rPr>
        <w:t xml:space="preserve">. Płodność: </w:t>
      </w:r>
      <w:r w:rsidR="00C01A37" w:rsidRPr="00C01A37">
        <w:rPr>
          <w:sz w:val="18"/>
          <w:szCs w:val="18"/>
        </w:rPr>
        <w:t>Badania nad witaminą B</w:t>
      </w:r>
      <w:r w:rsidR="00C01A37" w:rsidRPr="00981E9A">
        <w:rPr>
          <w:sz w:val="18"/>
          <w:szCs w:val="18"/>
          <w:vertAlign w:val="subscript"/>
        </w:rPr>
        <w:t>6</w:t>
      </w:r>
      <w:r w:rsidR="00C01A37" w:rsidRPr="00C01A37">
        <w:rPr>
          <w:sz w:val="18"/>
          <w:szCs w:val="18"/>
        </w:rPr>
        <w:t xml:space="preserve"> wykazały jej wpływ n</w:t>
      </w:r>
      <w:r w:rsidR="00444902">
        <w:rPr>
          <w:sz w:val="18"/>
          <w:szCs w:val="18"/>
        </w:rPr>
        <w:t>a płodność u mężczyzn. Jednakże</w:t>
      </w:r>
      <w:r w:rsidR="00C01A37" w:rsidRPr="00C01A37">
        <w:rPr>
          <w:sz w:val="18"/>
          <w:szCs w:val="18"/>
        </w:rPr>
        <w:t xml:space="preserve"> taki efekt występuje tylko przy b</w:t>
      </w:r>
      <w:r w:rsidR="00981E9A">
        <w:rPr>
          <w:sz w:val="18"/>
          <w:szCs w:val="18"/>
        </w:rPr>
        <w:t>ardzo wysokich dawkach. Produkt leczniczy</w:t>
      </w:r>
      <w:r w:rsidR="00C01A37" w:rsidRPr="00C01A37">
        <w:rPr>
          <w:sz w:val="18"/>
          <w:szCs w:val="18"/>
        </w:rPr>
        <w:t xml:space="preserve"> Magnefar B</w:t>
      </w:r>
      <w:r w:rsidR="00C01A37" w:rsidRPr="00981E9A">
        <w:rPr>
          <w:sz w:val="18"/>
          <w:szCs w:val="18"/>
          <w:vertAlign w:val="subscript"/>
        </w:rPr>
        <w:t>6</w:t>
      </w:r>
      <w:r w:rsidR="00C01A37" w:rsidRPr="00C01A37">
        <w:rPr>
          <w:sz w:val="18"/>
          <w:szCs w:val="18"/>
        </w:rPr>
        <w:t xml:space="preserve"> </w:t>
      </w:r>
      <w:proofErr w:type="spellStart"/>
      <w:r w:rsidR="00C01A37" w:rsidRPr="00C01A37">
        <w:rPr>
          <w:sz w:val="18"/>
          <w:szCs w:val="18"/>
        </w:rPr>
        <w:t>Bio</w:t>
      </w:r>
      <w:proofErr w:type="spellEnd"/>
      <w:r w:rsidR="00C01A37" w:rsidRPr="00C01A37">
        <w:rPr>
          <w:sz w:val="18"/>
          <w:szCs w:val="18"/>
        </w:rPr>
        <w:t xml:space="preserve"> </w:t>
      </w:r>
      <w:r w:rsidR="00981E9A">
        <w:rPr>
          <w:sz w:val="18"/>
          <w:szCs w:val="18"/>
        </w:rPr>
        <w:t>zawiera</w:t>
      </w:r>
      <w:r w:rsidR="00C01A37" w:rsidRPr="00C01A37">
        <w:rPr>
          <w:sz w:val="18"/>
          <w:szCs w:val="18"/>
        </w:rPr>
        <w:t xml:space="preserve"> niewielkie dawki witaminy B</w:t>
      </w:r>
      <w:r w:rsidR="00C01A37" w:rsidRPr="00981E9A">
        <w:rPr>
          <w:sz w:val="18"/>
          <w:szCs w:val="18"/>
          <w:vertAlign w:val="subscript"/>
        </w:rPr>
        <w:t>6</w:t>
      </w:r>
      <w:r w:rsidR="00C01A37" w:rsidRPr="00C01A37">
        <w:rPr>
          <w:sz w:val="18"/>
          <w:szCs w:val="18"/>
        </w:rPr>
        <w:t>.</w:t>
      </w:r>
      <w:r w:rsidR="008B74CD" w:rsidRPr="00C01A37">
        <w:rPr>
          <w:sz w:val="18"/>
          <w:szCs w:val="18"/>
        </w:rPr>
        <w:t xml:space="preserve"> </w:t>
      </w:r>
      <w:r w:rsidRPr="00BA60CD">
        <w:rPr>
          <w:b/>
          <w:bCs/>
          <w:sz w:val="18"/>
          <w:szCs w:val="18"/>
        </w:rPr>
        <w:t>Wpływ na zdolność prowadzenia pojazdów mechanicznych i obsługiwania urządzeń mechanicznych w ruchu:</w:t>
      </w:r>
      <w:r w:rsidR="00C01A37">
        <w:rPr>
          <w:b/>
          <w:bCs/>
          <w:sz w:val="18"/>
          <w:szCs w:val="18"/>
        </w:rPr>
        <w:t xml:space="preserve"> </w:t>
      </w:r>
      <w:r w:rsidR="00981E9A">
        <w:rPr>
          <w:bCs/>
          <w:sz w:val="18"/>
          <w:szCs w:val="18"/>
        </w:rPr>
        <w:t>Produkt leczniczy</w:t>
      </w:r>
      <w:r w:rsidR="00C01A37" w:rsidRPr="00C01A37">
        <w:rPr>
          <w:bCs/>
          <w:sz w:val="18"/>
          <w:szCs w:val="18"/>
        </w:rPr>
        <w:t xml:space="preserve"> Magnefar B</w:t>
      </w:r>
      <w:r w:rsidR="00C01A37" w:rsidRPr="00981E9A">
        <w:rPr>
          <w:bCs/>
          <w:sz w:val="18"/>
          <w:szCs w:val="18"/>
          <w:vertAlign w:val="subscript"/>
        </w:rPr>
        <w:t>6</w:t>
      </w:r>
      <w:r w:rsidR="00C01A37" w:rsidRPr="00C01A37">
        <w:rPr>
          <w:bCs/>
          <w:sz w:val="18"/>
          <w:szCs w:val="18"/>
        </w:rPr>
        <w:t xml:space="preserve"> </w:t>
      </w:r>
      <w:proofErr w:type="spellStart"/>
      <w:r w:rsidR="00C01A37" w:rsidRPr="00C01A37">
        <w:rPr>
          <w:bCs/>
          <w:sz w:val="18"/>
          <w:szCs w:val="18"/>
        </w:rPr>
        <w:t>Bio</w:t>
      </w:r>
      <w:proofErr w:type="spellEnd"/>
      <w:r w:rsidR="00C01A37" w:rsidRPr="00C01A37">
        <w:rPr>
          <w:bCs/>
          <w:sz w:val="18"/>
          <w:szCs w:val="18"/>
        </w:rPr>
        <w:t xml:space="preserve"> </w:t>
      </w:r>
      <w:r w:rsidR="00981E9A">
        <w:rPr>
          <w:bCs/>
          <w:sz w:val="18"/>
          <w:szCs w:val="18"/>
        </w:rPr>
        <w:t>nie ma</w:t>
      </w:r>
      <w:r w:rsidR="00C01A37" w:rsidRPr="00C01A37">
        <w:rPr>
          <w:bCs/>
          <w:sz w:val="18"/>
          <w:szCs w:val="18"/>
        </w:rPr>
        <w:t xml:space="preserve"> wpływu na zdolność prowadzenia pojazdów i obsługiwania maszyn</w:t>
      </w:r>
      <w:r w:rsidR="00C01A37" w:rsidRPr="00C01A37">
        <w:rPr>
          <w:b/>
          <w:bCs/>
          <w:sz w:val="18"/>
          <w:szCs w:val="18"/>
        </w:rPr>
        <w:t>.</w:t>
      </w:r>
      <w:r w:rsidR="008B74CD">
        <w:rPr>
          <w:sz w:val="18"/>
          <w:szCs w:val="18"/>
        </w:rPr>
        <w:t xml:space="preserve"> </w:t>
      </w:r>
      <w:r w:rsidRPr="00BA60CD">
        <w:rPr>
          <w:b/>
          <w:bCs/>
          <w:sz w:val="18"/>
          <w:szCs w:val="18"/>
        </w:rPr>
        <w:t xml:space="preserve">Działania niepożądane: </w:t>
      </w:r>
      <w:r w:rsidR="00EC376D" w:rsidRPr="00EC376D">
        <w:rPr>
          <w:bCs/>
          <w:sz w:val="18"/>
          <w:szCs w:val="18"/>
        </w:rPr>
        <w:t>W oparciu o dane z badań klinicznych i licznych doświadczeń po wprowadzeniu produktów zawierających magnez i witaminę B</w:t>
      </w:r>
      <w:r w:rsidR="00EC376D" w:rsidRPr="00981E9A">
        <w:rPr>
          <w:bCs/>
          <w:sz w:val="18"/>
          <w:szCs w:val="18"/>
          <w:vertAlign w:val="subscript"/>
        </w:rPr>
        <w:t>6</w:t>
      </w:r>
      <w:r w:rsidR="00EC376D" w:rsidRPr="00EC376D">
        <w:rPr>
          <w:bCs/>
          <w:sz w:val="18"/>
          <w:szCs w:val="18"/>
        </w:rPr>
        <w:t xml:space="preserve"> na rynek, poniżej przedstawiono profil działań niepożądanych produktów Magnefa</w:t>
      </w:r>
      <w:r w:rsidR="00981E9A">
        <w:rPr>
          <w:bCs/>
          <w:sz w:val="18"/>
          <w:szCs w:val="18"/>
        </w:rPr>
        <w:t>r B</w:t>
      </w:r>
      <w:r w:rsidR="00981E9A" w:rsidRPr="00981E9A">
        <w:rPr>
          <w:bCs/>
          <w:sz w:val="18"/>
          <w:szCs w:val="18"/>
          <w:vertAlign w:val="subscript"/>
        </w:rPr>
        <w:t>6</w:t>
      </w:r>
      <w:r w:rsidR="00981E9A">
        <w:rPr>
          <w:bCs/>
          <w:sz w:val="18"/>
          <w:szCs w:val="18"/>
        </w:rPr>
        <w:t xml:space="preserve"> </w:t>
      </w:r>
      <w:proofErr w:type="spellStart"/>
      <w:r w:rsidR="00981E9A">
        <w:rPr>
          <w:bCs/>
          <w:sz w:val="18"/>
          <w:szCs w:val="18"/>
        </w:rPr>
        <w:t>Bio</w:t>
      </w:r>
      <w:proofErr w:type="spellEnd"/>
      <w:r w:rsidR="00EC376D" w:rsidRPr="00EC376D">
        <w:rPr>
          <w:bCs/>
          <w:sz w:val="18"/>
          <w:szCs w:val="18"/>
        </w:rPr>
        <w:t xml:space="preserve">. Częstość występowania działań niepożądanych ustalono zgodnie z następującą zasadą: często (≥1/100 do &lt;1/10); niezbyt często (≥1/1 000 do &lt;1/100); rzadko (≥1/10 000 do &lt;1/1 000); bardzo rzadko (≤1/10 000); częstość nieznana (nie może być określona na podstawie dostępnych danych). Działania niepożądane występują rzadko. </w:t>
      </w:r>
      <w:r w:rsidR="00EC376D" w:rsidRPr="00EC376D">
        <w:rPr>
          <w:bCs/>
          <w:sz w:val="18"/>
          <w:szCs w:val="18"/>
          <w:u w:val="single"/>
        </w:rPr>
        <w:t>Zaburzenia żołądka i jelit</w:t>
      </w:r>
      <w:r w:rsidR="00734932">
        <w:rPr>
          <w:bCs/>
          <w:sz w:val="18"/>
          <w:szCs w:val="18"/>
        </w:rPr>
        <w:t>:</w:t>
      </w:r>
      <w:r w:rsidR="00EC376D" w:rsidRPr="00EC376D">
        <w:rPr>
          <w:bCs/>
          <w:sz w:val="18"/>
          <w:szCs w:val="18"/>
        </w:rPr>
        <w:t xml:space="preserve">  Rzadko: bóle brzucha, zmiękczenie stolca lub biegunka na początku leczenia (nieszkodliwe i przemijające). </w:t>
      </w:r>
      <w:r w:rsidR="00EC376D" w:rsidRPr="00734932">
        <w:rPr>
          <w:bCs/>
          <w:sz w:val="18"/>
          <w:szCs w:val="18"/>
          <w:u w:val="single"/>
        </w:rPr>
        <w:t>Zaburzenia skóry i tkanki podskórnej</w:t>
      </w:r>
      <w:r w:rsidR="00734932">
        <w:rPr>
          <w:bCs/>
          <w:sz w:val="18"/>
          <w:szCs w:val="18"/>
        </w:rPr>
        <w:t>:</w:t>
      </w:r>
      <w:r w:rsidR="00EC376D" w:rsidRPr="00EC376D">
        <w:rPr>
          <w:bCs/>
          <w:sz w:val="18"/>
          <w:szCs w:val="18"/>
        </w:rPr>
        <w:t xml:space="preserve"> Rzadko: zaczerwienienie skóry. </w:t>
      </w:r>
      <w:r w:rsidR="00EC376D" w:rsidRPr="00734932">
        <w:rPr>
          <w:bCs/>
          <w:sz w:val="18"/>
          <w:szCs w:val="18"/>
          <w:u w:val="single"/>
        </w:rPr>
        <w:t>Zaburzenia układu immunologicznego</w:t>
      </w:r>
      <w:r w:rsidR="00734932">
        <w:rPr>
          <w:bCs/>
          <w:sz w:val="18"/>
          <w:szCs w:val="18"/>
        </w:rPr>
        <w:t>:</w:t>
      </w:r>
      <w:r w:rsidR="00EC376D" w:rsidRPr="00EC376D">
        <w:rPr>
          <w:bCs/>
          <w:sz w:val="18"/>
          <w:szCs w:val="18"/>
        </w:rPr>
        <w:t xml:space="preserve"> Bardzo rzadko: reakcje alergiczne. Zgłaszanie podejrzewanych działań niepożądanych: Po dopuszczeniu produktu leczniczego do obrotu istotne jest zgłaszanie podejrzewanych działań niepożądanych. Umożliwia to nieprzerwane monitorowanie stosunku korzyści do ryzyka stosowania produktu leczniczego. Osoby należące do fachowego personelu medycznego powinny zgłaszać wszelkie podejrzewane działania niepożądane za pośrednictwem Departamentu Monitorowania Niepożądanych Działań Produktów Leczniczych Urzędu Rejestracji Produktów Leczniczych, Wyrobów Medycznych i Produktów Biobójczych: Al. Jerozolimskie 181C, 02-222 Warszawa, Tel.: + 48 22 49 21 301, Faks: + 48 22 49 21</w:t>
      </w:r>
      <w:r w:rsidR="00444902">
        <w:rPr>
          <w:bCs/>
          <w:sz w:val="18"/>
          <w:szCs w:val="18"/>
        </w:rPr>
        <w:t> </w:t>
      </w:r>
      <w:r w:rsidR="00EC376D" w:rsidRPr="00EC376D">
        <w:rPr>
          <w:bCs/>
          <w:sz w:val="18"/>
          <w:szCs w:val="18"/>
        </w:rPr>
        <w:t>309</w:t>
      </w:r>
      <w:r w:rsidR="00444902">
        <w:rPr>
          <w:bCs/>
          <w:sz w:val="18"/>
          <w:szCs w:val="18"/>
        </w:rPr>
        <w:t xml:space="preserve">, </w:t>
      </w:r>
      <w:r w:rsidR="00444902" w:rsidRPr="00444902">
        <w:rPr>
          <w:bCs/>
          <w:sz w:val="18"/>
          <w:szCs w:val="18"/>
        </w:rPr>
        <w:t>Strona internetowa: https://smz.ezdrowie.gov.pl</w:t>
      </w:r>
      <w:r w:rsidR="00EC376D" w:rsidRPr="00EC376D">
        <w:rPr>
          <w:bCs/>
          <w:sz w:val="18"/>
          <w:szCs w:val="18"/>
        </w:rPr>
        <w:t>. Działania niepożądane można zgłaszać również podmiotowi odpowiedzialnemu.</w:t>
      </w:r>
      <w:r w:rsidR="00EC376D">
        <w:rPr>
          <w:b/>
          <w:bCs/>
          <w:sz w:val="18"/>
          <w:szCs w:val="18"/>
        </w:rPr>
        <w:t xml:space="preserve"> </w:t>
      </w:r>
      <w:r w:rsidRPr="00BA60CD">
        <w:rPr>
          <w:b/>
          <w:bCs/>
          <w:sz w:val="18"/>
          <w:szCs w:val="18"/>
        </w:rPr>
        <w:t>Przedawkowanie:</w:t>
      </w:r>
      <w:r w:rsidR="008F3CD9">
        <w:rPr>
          <w:b/>
          <w:bCs/>
          <w:sz w:val="18"/>
          <w:szCs w:val="18"/>
        </w:rPr>
        <w:t xml:space="preserve"> </w:t>
      </w:r>
      <w:r w:rsidR="008F3CD9" w:rsidRPr="008F3CD9">
        <w:rPr>
          <w:bCs/>
          <w:sz w:val="18"/>
          <w:szCs w:val="18"/>
        </w:rPr>
        <w:t>Przedawkowanie magnezu stosowanego doustnie nie powoduje reakcji toksycznych u pacjentów z prawidłową czynnością nerek. U pacjentów z niewydolnością nerek może wystąpić zatrucie magnezem.</w:t>
      </w:r>
    </w:p>
    <w:p w14:paraId="7C7DA84D" w14:textId="67BCD082" w:rsidR="008F3CD9" w:rsidRPr="008F3CD9" w:rsidRDefault="008F3CD9" w:rsidP="008F3CD9">
      <w:pPr>
        <w:jc w:val="both"/>
        <w:rPr>
          <w:bCs/>
          <w:sz w:val="18"/>
          <w:szCs w:val="18"/>
        </w:rPr>
      </w:pPr>
      <w:r w:rsidRPr="008F3CD9">
        <w:rPr>
          <w:bCs/>
          <w:sz w:val="18"/>
          <w:szCs w:val="18"/>
        </w:rPr>
        <w:t>Objawy zatrucia magnezem</w:t>
      </w:r>
    </w:p>
    <w:tbl>
      <w:tblPr>
        <w:tblStyle w:val="Tabela-Siatka"/>
        <w:tblW w:w="9067" w:type="dxa"/>
        <w:tblLook w:val="04A0" w:firstRow="1" w:lastRow="0" w:firstColumn="1" w:lastColumn="0" w:noHBand="0" w:noVBand="1"/>
      </w:tblPr>
      <w:tblGrid>
        <w:gridCol w:w="2093"/>
        <w:gridCol w:w="6974"/>
      </w:tblGrid>
      <w:tr w:rsidR="008F3CD9" w:rsidRPr="008F3CD9" w14:paraId="0B2AC69D" w14:textId="77777777" w:rsidTr="003477BC">
        <w:tc>
          <w:tcPr>
            <w:tcW w:w="2093" w:type="dxa"/>
          </w:tcPr>
          <w:p w14:paraId="7BAE96BE" w14:textId="77777777" w:rsidR="008F3CD9" w:rsidRPr="008F3CD9" w:rsidRDefault="008F3CD9" w:rsidP="008F3CD9">
            <w:pPr>
              <w:jc w:val="both"/>
              <w:rPr>
                <w:b/>
                <w:bCs/>
                <w:sz w:val="18"/>
                <w:szCs w:val="18"/>
              </w:rPr>
            </w:pPr>
            <w:r w:rsidRPr="008F3CD9">
              <w:rPr>
                <w:b/>
                <w:bCs/>
                <w:sz w:val="18"/>
                <w:szCs w:val="18"/>
              </w:rPr>
              <w:t>Stężenie magnezu w osoczu (</w:t>
            </w:r>
            <w:proofErr w:type="spellStart"/>
            <w:r w:rsidRPr="008F3CD9">
              <w:rPr>
                <w:b/>
                <w:bCs/>
                <w:sz w:val="18"/>
                <w:szCs w:val="18"/>
              </w:rPr>
              <w:t>mmol</w:t>
            </w:r>
            <w:proofErr w:type="spellEnd"/>
            <w:r w:rsidRPr="008F3CD9">
              <w:rPr>
                <w:b/>
                <w:bCs/>
                <w:sz w:val="18"/>
                <w:szCs w:val="18"/>
              </w:rPr>
              <w:t>/L)</w:t>
            </w:r>
          </w:p>
        </w:tc>
        <w:tc>
          <w:tcPr>
            <w:tcW w:w="6974" w:type="dxa"/>
          </w:tcPr>
          <w:p w14:paraId="73D9F221" w14:textId="33FECC8E" w:rsidR="008F3CD9" w:rsidRPr="008F3CD9" w:rsidRDefault="008F3CD9" w:rsidP="008F3CD9">
            <w:pPr>
              <w:jc w:val="both"/>
              <w:rPr>
                <w:b/>
                <w:bCs/>
                <w:sz w:val="18"/>
                <w:szCs w:val="18"/>
              </w:rPr>
            </w:pPr>
            <w:r w:rsidRPr="008F3CD9">
              <w:rPr>
                <w:b/>
                <w:bCs/>
                <w:sz w:val="18"/>
                <w:szCs w:val="18"/>
              </w:rPr>
              <w:t xml:space="preserve">Objawy i </w:t>
            </w:r>
            <w:r w:rsidR="001D33D9" w:rsidRPr="008F3CD9">
              <w:rPr>
                <w:b/>
                <w:bCs/>
                <w:sz w:val="18"/>
                <w:szCs w:val="18"/>
              </w:rPr>
              <w:t>działania</w:t>
            </w:r>
            <w:r w:rsidRPr="008F3CD9">
              <w:rPr>
                <w:b/>
                <w:bCs/>
                <w:sz w:val="18"/>
                <w:szCs w:val="18"/>
              </w:rPr>
              <w:t xml:space="preserve"> niepożądane</w:t>
            </w:r>
          </w:p>
        </w:tc>
      </w:tr>
      <w:tr w:rsidR="008F3CD9" w:rsidRPr="008F3CD9" w14:paraId="0AD9000F" w14:textId="77777777" w:rsidTr="003477BC">
        <w:tc>
          <w:tcPr>
            <w:tcW w:w="2093" w:type="dxa"/>
          </w:tcPr>
          <w:p w14:paraId="03123ACC" w14:textId="77777777" w:rsidR="008F3CD9" w:rsidRPr="008F3CD9" w:rsidRDefault="008F3CD9" w:rsidP="008F3CD9">
            <w:pPr>
              <w:jc w:val="both"/>
              <w:rPr>
                <w:bCs/>
                <w:sz w:val="18"/>
                <w:szCs w:val="18"/>
              </w:rPr>
            </w:pPr>
            <w:r w:rsidRPr="008F3CD9">
              <w:rPr>
                <w:bCs/>
                <w:sz w:val="18"/>
                <w:szCs w:val="18"/>
              </w:rPr>
              <w:t>2,2–3,5</w:t>
            </w:r>
          </w:p>
        </w:tc>
        <w:tc>
          <w:tcPr>
            <w:tcW w:w="6974" w:type="dxa"/>
          </w:tcPr>
          <w:p w14:paraId="6D665BB4" w14:textId="77777777" w:rsidR="008F3CD9" w:rsidRPr="008F3CD9" w:rsidRDefault="008F3CD9" w:rsidP="008F3CD9">
            <w:pPr>
              <w:jc w:val="both"/>
              <w:rPr>
                <w:bCs/>
                <w:sz w:val="18"/>
                <w:szCs w:val="18"/>
              </w:rPr>
            </w:pPr>
            <w:r w:rsidRPr="008F3CD9">
              <w:rPr>
                <w:bCs/>
                <w:sz w:val="18"/>
                <w:szCs w:val="18"/>
              </w:rPr>
              <w:t>nudności, wymioty, zaczerwienienie twarzy, zatrzymanie moczu, niedrożność jelit i niedociśnienie</w:t>
            </w:r>
          </w:p>
        </w:tc>
      </w:tr>
      <w:tr w:rsidR="008F3CD9" w:rsidRPr="008F3CD9" w14:paraId="16DE6BE4" w14:textId="77777777" w:rsidTr="003477BC">
        <w:tc>
          <w:tcPr>
            <w:tcW w:w="2093" w:type="dxa"/>
          </w:tcPr>
          <w:p w14:paraId="41E3E6A3" w14:textId="77777777" w:rsidR="008F3CD9" w:rsidRPr="008F3CD9" w:rsidRDefault="008F3CD9" w:rsidP="008F3CD9">
            <w:pPr>
              <w:jc w:val="both"/>
              <w:rPr>
                <w:bCs/>
                <w:sz w:val="18"/>
                <w:szCs w:val="18"/>
              </w:rPr>
            </w:pPr>
            <w:r w:rsidRPr="008F3CD9">
              <w:rPr>
                <w:bCs/>
                <w:sz w:val="18"/>
                <w:szCs w:val="18"/>
              </w:rPr>
              <w:t>3,9–5,2</w:t>
            </w:r>
          </w:p>
        </w:tc>
        <w:tc>
          <w:tcPr>
            <w:tcW w:w="6974" w:type="dxa"/>
          </w:tcPr>
          <w:p w14:paraId="5F13D4FA" w14:textId="77777777" w:rsidR="008F3CD9" w:rsidRPr="008F3CD9" w:rsidRDefault="008F3CD9" w:rsidP="008F3CD9">
            <w:pPr>
              <w:jc w:val="both"/>
              <w:rPr>
                <w:bCs/>
                <w:sz w:val="18"/>
                <w:szCs w:val="18"/>
              </w:rPr>
            </w:pPr>
            <w:r w:rsidRPr="008F3CD9">
              <w:rPr>
                <w:bCs/>
                <w:sz w:val="18"/>
                <w:szCs w:val="18"/>
              </w:rPr>
              <w:t>senność, brak odruchów głębokich (ścięgnowych), całkowity blok serca</w:t>
            </w:r>
          </w:p>
        </w:tc>
      </w:tr>
      <w:tr w:rsidR="008F3CD9" w:rsidRPr="008F3CD9" w14:paraId="2C5D09D6" w14:textId="77777777" w:rsidTr="003477BC">
        <w:tc>
          <w:tcPr>
            <w:tcW w:w="2093" w:type="dxa"/>
          </w:tcPr>
          <w:p w14:paraId="6DDDC0F9" w14:textId="77777777" w:rsidR="008F3CD9" w:rsidRPr="008F3CD9" w:rsidRDefault="008F3CD9" w:rsidP="008F3CD9">
            <w:pPr>
              <w:jc w:val="both"/>
              <w:rPr>
                <w:bCs/>
                <w:sz w:val="18"/>
                <w:szCs w:val="18"/>
              </w:rPr>
            </w:pPr>
            <w:r w:rsidRPr="008F3CD9">
              <w:rPr>
                <w:bCs/>
                <w:sz w:val="18"/>
                <w:szCs w:val="18"/>
              </w:rPr>
              <w:t>&gt; 6,5</w:t>
            </w:r>
          </w:p>
        </w:tc>
        <w:tc>
          <w:tcPr>
            <w:tcW w:w="6974" w:type="dxa"/>
          </w:tcPr>
          <w:p w14:paraId="6F4104AB" w14:textId="77777777" w:rsidR="008F3CD9" w:rsidRPr="008F3CD9" w:rsidRDefault="008F3CD9" w:rsidP="008F3CD9">
            <w:pPr>
              <w:jc w:val="both"/>
              <w:rPr>
                <w:bCs/>
                <w:sz w:val="18"/>
                <w:szCs w:val="18"/>
              </w:rPr>
            </w:pPr>
            <w:r w:rsidRPr="008F3CD9">
              <w:rPr>
                <w:bCs/>
                <w:sz w:val="18"/>
                <w:szCs w:val="18"/>
              </w:rPr>
              <w:t>depresja oddechowa, paraliż i całkowity blok serca</w:t>
            </w:r>
          </w:p>
        </w:tc>
      </w:tr>
      <w:tr w:rsidR="008F3CD9" w:rsidRPr="008F3CD9" w14:paraId="30D306BA" w14:textId="77777777" w:rsidTr="003477BC">
        <w:tc>
          <w:tcPr>
            <w:tcW w:w="2093" w:type="dxa"/>
          </w:tcPr>
          <w:p w14:paraId="084F1802" w14:textId="77777777" w:rsidR="008F3CD9" w:rsidRPr="008F3CD9" w:rsidRDefault="008F3CD9" w:rsidP="008F3CD9">
            <w:pPr>
              <w:jc w:val="both"/>
              <w:rPr>
                <w:bCs/>
                <w:sz w:val="18"/>
                <w:szCs w:val="18"/>
              </w:rPr>
            </w:pPr>
            <w:r w:rsidRPr="008F3CD9">
              <w:rPr>
                <w:bCs/>
                <w:sz w:val="18"/>
                <w:szCs w:val="18"/>
              </w:rPr>
              <w:t>&gt; 8,7</w:t>
            </w:r>
          </w:p>
        </w:tc>
        <w:tc>
          <w:tcPr>
            <w:tcW w:w="6974" w:type="dxa"/>
          </w:tcPr>
          <w:p w14:paraId="5D58C038" w14:textId="77777777" w:rsidR="008F3CD9" w:rsidRPr="008F3CD9" w:rsidRDefault="008F3CD9" w:rsidP="008F3CD9">
            <w:pPr>
              <w:jc w:val="both"/>
              <w:rPr>
                <w:bCs/>
                <w:sz w:val="18"/>
                <w:szCs w:val="18"/>
              </w:rPr>
            </w:pPr>
            <w:proofErr w:type="spellStart"/>
            <w:r w:rsidRPr="008F3CD9">
              <w:rPr>
                <w:bCs/>
                <w:sz w:val="18"/>
                <w:szCs w:val="18"/>
              </w:rPr>
              <w:t>asystolia</w:t>
            </w:r>
            <w:proofErr w:type="spellEnd"/>
          </w:p>
        </w:tc>
      </w:tr>
    </w:tbl>
    <w:p w14:paraId="2AB5D401" w14:textId="77777777" w:rsidR="008F3CD9" w:rsidRPr="008F3CD9" w:rsidRDefault="008F3CD9" w:rsidP="008F3CD9">
      <w:pPr>
        <w:jc w:val="both"/>
        <w:rPr>
          <w:b/>
          <w:bCs/>
          <w:sz w:val="18"/>
          <w:szCs w:val="18"/>
        </w:rPr>
      </w:pPr>
    </w:p>
    <w:p w14:paraId="364925A1" w14:textId="71B9751B" w:rsidR="000931A1" w:rsidRPr="008F3CD9" w:rsidRDefault="008F3CD9" w:rsidP="008F3CD9">
      <w:pPr>
        <w:jc w:val="both"/>
        <w:rPr>
          <w:bCs/>
          <w:sz w:val="18"/>
          <w:szCs w:val="18"/>
        </w:rPr>
      </w:pPr>
      <w:r w:rsidRPr="008F3CD9">
        <w:rPr>
          <w:bCs/>
          <w:sz w:val="18"/>
          <w:szCs w:val="18"/>
        </w:rPr>
        <w:t xml:space="preserve">Także może występować zespół bezmoczu. </w:t>
      </w:r>
      <w:r w:rsidRPr="008F3CD9">
        <w:rPr>
          <w:bCs/>
          <w:sz w:val="18"/>
          <w:szCs w:val="18"/>
          <w:u w:val="single"/>
        </w:rPr>
        <w:t>Postępowanie obejmuje</w:t>
      </w:r>
      <w:r w:rsidRPr="008F3CD9">
        <w:rPr>
          <w:bCs/>
          <w:sz w:val="18"/>
          <w:szCs w:val="18"/>
        </w:rPr>
        <w:t xml:space="preserve">: zalecana dożylna infuzja 10% </w:t>
      </w:r>
      <w:proofErr w:type="spellStart"/>
      <w:r w:rsidRPr="008F3CD9">
        <w:rPr>
          <w:bCs/>
          <w:sz w:val="18"/>
          <w:szCs w:val="18"/>
        </w:rPr>
        <w:t>glukonianu</w:t>
      </w:r>
      <w:proofErr w:type="spellEnd"/>
      <w:r w:rsidRPr="008F3CD9">
        <w:rPr>
          <w:bCs/>
          <w:sz w:val="18"/>
          <w:szCs w:val="18"/>
        </w:rPr>
        <w:t xml:space="preserve"> lub chlorku wapnia oraz powolne podawanie dożylne 0,5 - 2 mg </w:t>
      </w:r>
      <w:proofErr w:type="spellStart"/>
      <w:r w:rsidRPr="008F3CD9">
        <w:rPr>
          <w:bCs/>
          <w:sz w:val="18"/>
          <w:szCs w:val="18"/>
        </w:rPr>
        <w:t>metylosiarczanu</w:t>
      </w:r>
      <w:proofErr w:type="spellEnd"/>
      <w:r w:rsidRPr="008F3CD9">
        <w:rPr>
          <w:bCs/>
          <w:sz w:val="18"/>
          <w:szCs w:val="18"/>
        </w:rPr>
        <w:t xml:space="preserve"> neostygminy; dożylne i doustne podawanie izotonicznego roztworu chlorku sodu. Należy zabezpieczyć drogi oddechowe i kontrolować czynność serca ze względu na ryzyko depresji oddechowej i </w:t>
      </w:r>
      <w:proofErr w:type="spellStart"/>
      <w:r w:rsidRPr="008F3CD9">
        <w:rPr>
          <w:bCs/>
          <w:sz w:val="18"/>
          <w:szCs w:val="18"/>
        </w:rPr>
        <w:t>asystolii</w:t>
      </w:r>
      <w:proofErr w:type="spellEnd"/>
      <w:r w:rsidRPr="008F3CD9">
        <w:rPr>
          <w:bCs/>
          <w:sz w:val="18"/>
          <w:szCs w:val="18"/>
        </w:rPr>
        <w:t xml:space="preserve">. Dodatkowe metody leczenia zatrucia polegają na podawaniu </w:t>
      </w:r>
      <w:proofErr w:type="spellStart"/>
      <w:r w:rsidRPr="008F3CD9">
        <w:rPr>
          <w:bCs/>
          <w:sz w:val="18"/>
          <w:szCs w:val="18"/>
        </w:rPr>
        <w:t>furosemidu</w:t>
      </w:r>
      <w:proofErr w:type="spellEnd"/>
      <w:r w:rsidRPr="008F3CD9">
        <w:rPr>
          <w:bCs/>
          <w:sz w:val="18"/>
          <w:szCs w:val="18"/>
        </w:rPr>
        <w:t xml:space="preserve"> lub stosowaniu hemodializy celem eliminacji nadmiaru magnezu z organizmu</w:t>
      </w:r>
      <w:r w:rsidR="009B1DA3">
        <w:rPr>
          <w:bCs/>
          <w:sz w:val="18"/>
          <w:szCs w:val="18"/>
        </w:rPr>
        <w:t>.</w:t>
      </w:r>
      <w:r w:rsidRPr="008F3CD9">
        <w:rPr>
          <w:bCs/>
          <w:sz w:val="18"/>
          <w:szCs w:val="18"/>
        </w:rPr>
        <w:t xml:space="preserve"> U pacjentów z niewydolnością nerek należy przeprowadzić hemodializę albo dializę otrzewnową.</w:t>
      </w:r>
      <w:r>
        <w:rPr>
          <w:bCs/>
          <w:sz w:val="18"/>
          <w:szCs w:val="18"/>
        </w:rPr>
        <w:t xml:space="preserve"> </w:t>
      </w:r>
      <w:r w:rsidRPr="008F3CD9">
        <w:rPr>
          <w:bCs/>
          <w:sz w:val="18"/>
          <w:szCs w:val="18"/>
        </w:rPr>
        <w:t>Przedawkowanie witaminy B</w:t>
      </w:r>
      <w:r w:rsidRPr="008F3CD9">
        <w:rPr>
          <w:bCs/>
          <w:sz w:val="18"/>
          <w:szCs w:val="18"/>
          <w:vertAlign w:val="subscript"/>
        </w:rPr>
        <w:t>6</w:t>
      </w:r>
      <w:r w:rsidRPr="008F3CD9">
        <w:rPr>
          <w:bCs/>
          <w:sz w:val="18"/>
          <w:szCs w:val="18"/>
        </w:rPr>
        <w:t xml:space="preserve"> (dawki powyżej 500 mg) może spowodować: senność, bóle głowy, parestezje, uczulenie na światło, zaburzenie czucia głębokiego, sporadycznie drgawki. W przypadku podejrzenia zatrucia witaminą B</w:t>
      </w:r>
      <w:r w:rsidRPr="008F3CD9">
        <w:rPr>
          <w:bCs/>
          <w:sz w:val="18"/>
          <w:szCs w:val="18"/>
          <w:vertAlign w:val="subscript"/>
        </w:rPr>
        <w:t>6</w:t>
      </w:r>
      <w:r w:rsidRPr="008F3CD9">
        <w:rPr>
          <w:bCs/>
          <w:sz w:val="18"/>
          <w:szCs w:val="18"/>
        </w:rPr>
        <w:t xml:space="preserve"> należy ją bezzwłocznie odstawić</w:t>
      </w:r>
      <w:r>
        <w:rPr>
          <w:bCs/>
          <w:sz w:val="18"/>
          <w:szCs w:val="18"/>
        </w:rPr>
        <w:t xml:space="preserve"> i oczekiwać samoistnej poprawy</w:t>
      </w:r>
      <w:r w:rsidR="000931A1" w:rsidRPr="00BA60CD">
        <w:rPr>
          <w:sz w:val="18"/>
          <w:szCs w:val="18"/>
        </w:rPr>
        <w:t xml:space="preserve">. </w:t>
      </w:r>
      <w:r w:rsidR="000931A1" w:rsidRPr="00BA60CD">
        <w:rPr>
          <w:b/>
          <w:bCs/>
          <w:sz w:val="18"/>
          <w:szCs w:val="18"/>
        </w:rPr>
        <w:t xml:space="preserve">Podmiot odpowiedzialny: </w:t>
      </w:r>
      <w:r w:rsidR="000931A1" w:rsidRPr="00BA60CD">
        <w:rPr>
          <w:bCs/>
          <w:sz w:val="18"/>
          <w:szCs w:val="18"/>
        </w:rPr>
        <w:t>Biofarm Sp. z o.o., ul. Wałbrzyska 13, 60-198 Poznań.</w:t>
      </w:r>
      <w:r w:rsidR="000931A1" w:rsidRPr="00BA60CD">
        <w:rPr>
          <w:b/>
          <w:bCs/>
          <w:sz w:val="18"/>
          <w:szCs w:val="18"/>
        </w:rPr>
        <w:t xml:space="preserve"> Pozwolenie na dopuszczenie do obrotu:</w:t>
      </w:r>
      <w:r w:rsidRPr="008F3CD9">
        <w:t xml:space="preserve"> </w:t>
      </w:r>
      <w:r w:rsidRPr="008F3CD9">
        <w:rPr>
          <w:bCs/>
          <w:sz w:val="18"/>
          <w:szCs w:val="18"/>
        </w:rPr>
        <w:t xml:space="preserve">Magnefar B6 </w:t>
      </w:r>
      <w:proofErr w:type="spellStart"/>
      <w:r w:rsidRPr="008F3CD9">
        <w:rPr>
          <w:bCs/>
          <w:sz w:val="18"/>
          <w:szCs w:val="18"/>
        </w:rPr>
        <w:t>Bio</w:t>
      </w:r>
      <w:proofErr w:type="spellEnd"/>
      <w:r w:rsidRPr="008F3CD9">
        <w:rPr>
          <w:bCs/>
          <w:sz w:val="18"/>
          <w:szCs w:val="18"/>
        </w:rPr>
        <w:t>: pozwolenie nr 25580</w:t>
      </w:r>
      <w:r w:rsidR="00981E9A">
        <w:rPr>
          <w:bCs/>
          <w:sz w:val="18"/>
          <w:szCs w:val="18"/>
        </w:rPr>
        <w:t xml:space="preserve">. </w:t>
      </w:r>
      <w:r w:rsidR="000931A1" w:rsidRPr="00BA60CD">
        <w:rPr>
          <w:b/>
          <w:sz w:val="18"/>
          <w:szCs w:val="18"/>
        </w:rPr>
        <w:t>OTC</w:t>
      </w:r>
      <w:r w:rsidR="000931A1" w:rsidRPr="00BA60CD">
        <w:rPr>
          <w:sz w:val="18"/>
          <w:szCs w:val="18"/>
        </w:rPr>
        <w:t xml:space="preserve"> – produkt leczniczy wydawany bez przepisu lekarza. </w:t>
      </w:r>
      <w:r w:rsidR="000931A1" w:rsidRPr="00BA60CD">
        <w:rPr>
          <w:b/>
          <w:sz w:val="18"/>
          <w:szCs w:val="18"/>
        </w:rPr>
        <w:t>Dostępne opakowania:</w:t>
      </w:r>
      <w:r w:rsidR="000931A1" w:rsidRPr="00BA60CD">
        <w:rPr>
          <w:sz w:val="18"/>
          <w:szCs w:val="18"/>
        </w:rPr>
        <w:t xml:space="preserve"> </w:t>
      </w:r>
      <w:r w:rsidR="009721C3">
        <w:rPr>
          <w:sz w:val="18"/>
          <w:szCs w:val="18"/>
        </w:rPr>
        <w:t>50 i 60</w:t>
      </w:r>
      <w:r w:rsidR="000931A1" w:rsidRPr="00BA60CD">
        <w:rPr>
          <w:sz w:val="18"/>
          <w:szCs w:val="18"/>
        </w:rPr>
        <w:t xml:space="preserve"> tabletek </w:t>
      </w:r>
    </w:p>
    <w:p w14:paraId="2F3560B0" w14:textId="77777777" w:rsidR="000931A1" w:rsidRPr="00BA60CD" w:rsidRDefault="000931A1" w:rsidP="000931A1">
      <w:pPr>
        <w:rPr>
          <w:sz w:val="18"/>
          <w:szCs w:val="18"/>
        </w:rPr>
      </w:pPr>
    </w:p>
    <w:p w14:paraId="2DCB198E" w14:textId="77777777" w:rsidR="000931A1" w:rsidRPr="00BA60CD" w:rsidRDefault="000931A1" w:rsidP="000931A1">
      <w:pPr>
        <w:rPr>
          <w:sz w:val="18"/>
          <w:szCs w:val="18"/>
        </w:rPr>
      </w:pPr>
    </w:p>
    <w:p w14:paraId="63A0195A" w14:textId="77777777" w:rsidR="000931A1" w:rsidRPr="00BA60CD" w:rsidRDefault="000931A1" w:rsidP="000931A1">
      <w:pPr>
        <w:rPr>
          <w:sz w:val="18"/>
          <w:szCs w:val="18"/>
        </w:rPr>
      </w:pPr>
    </w:p>
    <w:p w14:paraId="0FF97774" w14:textId="77777777" w:rsidR="000931A1" w:rsidRPr="00BA60CD" w:rsidRDefault="000931A1" w:rsidP="000931A1">
      <w:pPr>
        <w:rPr>
          <w:sz w:val="18"/>
          <w:szCs w:val="18"/>
        </w:rPr>
      </w:pPr>
    </w:p>
    <w:p w14:paraId="706843E0" w14:textId="77777777" w:rsidR="004041AC" w:rsidRPr="00BA60CD" w:rsidRDefault="004041AC">
      <w:pPr>
        <w:rPr>
          <w:sz w:val="18"/>
          <w:szCs w:val="18"/>
        </w:rPr>
      </w:pPr>
    </w:p>
    <w:sectPr w:rsidR="004041AC" w:rsidRPr="00BA60CD" w:rsidSect="00F47341">
      <w:footerReference w:type="default" r:id="rId7"/>
      <w:footnotePr>
        <w:pos w:val="beneathText"/>
      </w:footnotePr>
      <w:pgSz w:w="11905" w:h="16837"/>
      <w:pgMar w:top="1418" w:right="1418" w:bottom="1418" w:left="1418" w:header="708"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E7124" w14:textId="77777777" w:rsidR="006F20AF" w:rsidRDefault="00250AD9">
      <w:r>
        <w:separator/>
      </w:r>
    </w:p>
  </w:endnote>
  <w:endnote w:type="continuationSeparator" w:id="0">
    <w:p w14:paraId="7CFF5168" w14:textId="77777777" w:rsidR="006F20AF" w:rsidRDefault="0025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22AD" w14:textId="77777777" w:rsidR="00332EA7" w:rsidRDefault="000931A1">
    <w:pPr>
      <w:pStyle w:val="Stopka"/>
    </w:pPr>
    <w:r>
      <w:rPr>
        <w:noProof/>
        <w:lang w:eastAsia="pl-PL"/>
      </w:rPr>
      <mc:AlternateContent>
        <mc:Choice Requires="wps">
          <w:drawing>
            <wp:anchor distT="0" distB="0" distL="0" distR="0" simplePos="0" relativeHeight="251659264" behindDoc="0" locked="0" layoutInCell="1" allowOverlap="1" wp14:anchorId="694EBD39" wp14:editId="0CBE2DB2">
              <wp:simplePos x="0" y="0"/>
              <wp:positionH relativeFrom="margin">
                <wp:align>center</wp:align>
              </wp:positionH>
              <wp:positionV relativeFrom="paragraph">
                <wp:posOffset>635</wp:posOffset>
              </wp:positionV>
              <wp:extent cx="297815" cy="186690"/>
              <wp:effectExtent l="0" t="635" r="0" b="3175"/>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86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BAE0C" w14:textId="77777777" w:rsidR="00332EA7" w:rsidRDefault="008B74CD">
                          <w:pPr>
                            <w:pStyle w:val="Stopka"/>
                          </w:pPr>
                          <w:r>
                            <w:rPr>
                              <w:rStyle w:val="Numerstrony"/>
                            </w:rPr>
                            <w:fldChar w:fldCharType="begin"/>
                          </w:r>
                          <w:r>
                            <w:rPr>
                              <w:rStyle w:val="Numerstrony"/>
                            </w:rPr>
                            <w:instrText xml:space="preserve"> PAGE \*ARABIC </w:instrText>
                          </w:r>
                          <w:r>
                            <w:rPr>
                              <w:rStyle w:val="Numerstrony"/>
                            </w:rPr>
                            <w:fldChar w:fldCharType="separate"/>
                          </w:r>
                          <w:r w:rsidR="00C519EA">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EBD39" id="_x0000_t202" coordsize="21600,21600" o:spt="202" path="m,l,21600r21600,l21600,xe">
              <v:stroke joinstyle="miter"/>
              <v:path gradientshapeok="t" o:connecttype="rect"/>
            </v:shapetype>
            <v:shape id="Pole tekstowe 1" o:spid="_x0000_s1026" type="#_x0000_t202" style="position:absolute;margin-left:0;margin-top:.05pt;width:23.45pt;height:14.7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" stroked="f">
              <v:textbox inset="0,0,0,0">
                <w:txbxContent>
                  <w:p w14:paraId="76EBAE0C" w14:textId="77777777" w:rsidR="00332EA7" w:rsidRDefault="008B74CD">
                    <w:pPr>
                      <w:pStyle w:val="Stopka"/>
                    </w:pPr>
                    <w:r>
                      <w:rPr>
                        <w:rStyle w:val="Numerstrony"/>
                      </w:rPr>
                      <w:fldChar w:fldCharType="begin"/>
                    </w:r>
                    <w:r>
                      <w:rPr>
                        <w:rStyle w:val="Numerstrony"/>
                      </w:rPr>
                      <w:instrText xml:space="preserve"> PAGE \*ARABIC </w:instrText>
                    </w:r>
                    <w:r>
                      <w:rPr>
                        <w:rStyle w:val="Numerstrony"/>
                      </w:rPr>
                      <w:fldChar w:fldCharType="separate"/>
                    </w:r>
                    <w:r w:rsidR="00C519EA">
                      <w:rPr>
                        <w:rStyle w:val="Numerstrony"/>
                        <w:noProof/>
                      </w:rPr>
                      <w:t>1</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18CD5" w14:textId="77777777" w:rsidR="006F20AF" w:rsidRDefault="00250AD9">
      <w:r>
        <w:separator/>
      </w:r>
    </w:p>
  </w:footnote>
  <w:footnote w:type="continuationSeparator" w:id="0">
    <w:p w14:paraId="791DFD9E" w14:textId="77777777" w:rsidR="006F20AF" w:rsidRDefault="00250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5894F33"/>
    <w:multiLevelType w:val="hybridMultilevel"/>
    <w:tmpl w:val="380E0138"/>
    <w:lvl w:ilvl="0" w:tplc="FFFFFFFF">
      <w:start w:val="1"/>
      <w:numFmt w:val="bullet"/>
      <w:pStyle w:val="MoRPList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54A69"/>
    <w:multiLevelType w:val="hybridMultilevel"/>
    <w:tmpl w:val="B6C64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867D9E"/>
    <w:multiLevelType w:val="hybridMultilevel"/>
    <w:tmpl w:val="B4549F70"/>
    <w:lvl w:ilvl="0" w:tplc="FFFFFFFF">
      <w:start w:val="1"/>
      <w:numFmt w:val="bullet"/>
      <w:lvlText w:val="-"/>
      <w:lvlJc w:val="left"/>
      <w:pPr>
        <w:tabs>
          <w:tab w:val="num" w:pos="1134"/>
        </w:tabs>
        <w:ind w:left="851" w:hanging="284"/>
      </w:pPr>
      <w:rPr>
        <w:rFonts w:ascii="ArialMT" w:hAnsi="ArialMT"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72585E"/>
    <w:multiLevelType w:val="multilevel"/>
    <w:tmpl w:val="8780B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42E78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D672C85"/>
    <w:multiLevelType w:val="hybridMultilevel"/>
    <w:tmpl w:val="5DF85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16323201">
    <w:abstractNumId w:val="0"/>
  </w:num>
  <w:num w:numId="2" w16cid:durableId="1730568559">
    <w:abstractNumId w:val="4"/>
  </w:num>
  <w:num w:numId="3" w16cid:durableId="1206332382">
    <w:abstractNumId w:val="5"/>
  </w:num>
  <w:num w:numId="4" w16cid:durableId="581916209">
    <w:abstractNumId w:val="6"/>
  </w:num>
  <w:num w:numId="5" w16cid:durableId="249387478">
    <w:abstractNumId w:val="1"/>
  </w:num>
  <w:num w:numId="6" w16cid:durableId="936329098">
    <w:abstractNumId w:val="2"/>
  </w:num>
  <w:num w:numId="7" w16cid:durableId="213665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1A1"/>
    <w:rsid w:val="000931A1"/>
    <w:rsid w:val="00115644"/>
    <w:rsid w:val="00192976"/>
    <w:rsid w:val="001D33D9"/>
    <w:rsid w:val="00250AD9"/>
    <w:rsid w:val="004041AC"/>
    <w:rsid w:val="00444902"/>
    <w:rsid w:val="00565348"/>
    <w:rsid w:val="00656EA4"/>
    <w:rsid w:val="006F20AF"/>
    <w:rsid w:val="00734932"/>
    <w:rsid w:val="008B74CD"/>
    <w:rsid w:val="008F3CD9"/>
    <w:rsid w:val="009721C3"/>
    <w:rsid w:val="00981E9A"/>
    <w:rsid w:val="009B1DA3"/>
    <w:rsid w:val="00B049E0"/>
    <w:rsid w:val="00B23A10"/>
    <w:rsid w:val="00B67A36"/>
    <w:rsid w:val="00B81788"/>
    <w:rsid w:val="00BA60CD"/>
    <w:rsid w:val="00C01A37"/>
    <w:rsid w:val="00C519EA"/>
    <w:rsid w:val="00C63C1D"/>
    <w:rsid w:val="00D1731C"/>
    <w:rsid w:val="00DA1B0E"/>
    <w:rsid w:val="00EC376D"/>
    <w:rsid w:val="00F0708C"/>
    <w:rsid w:val="00F56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44243"/>
  <w15:chartTrackingRefBased/>
  <w15:docId w15:val="{600A15B5-0F73-4E21-9F64-8FF2A7B4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31A1"/>
    <w:pPr>
      <w:suppressAutoHyphens/>
      <w:spacing w:after="0" w:line="240" w:lineRule="auto"/>
    </w:pPr>
    <w:rPr>
      <w:rFonts w:ascii="Times New Roman" w:eastAsia="Times New Roman" w:hAnsi="Times New Roman" w:cs="Times New Roman"/>
      <w:sz w:val="24"/>
      <w:szCs w:val="24"/>
      <w:lang w:eastAsia="ar-SA"/>
    </w:rPr>
  </w:style>
  <w:style w:type="paragraph" w:styleId="Nagwek4">
    <w:name w:val="heading 4"/>
    <w:basedOn w:val="Normalny"/>
    <w:next w:val="Normalny"/>
    <w:link w:val="Nagwek4Znak"/>
    <w:qFormat/>
    <w:rsid w:val="000931A1"/>
    <w:pPr>
      <w:keepNext/>
      <w:numPr>
        <w:ilvl w:val="3"/>
        <w:numId w:val="2"/>
      </w:numPr>
      <w:outlineLvl w:val="3"/>
    </w:pPr>
    <w:rPr>
      <w:rFonts w:eastAsia="Arial Unicode MS"/>
      <w:b/>
      <w:sz w:val="32"/>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0931A1"/>
    <w:rPr>
      <w:rFonts w:ascii="Times New Roman" w:eastAsia="Arial Unicode MS" w:hAnsi="Times New Roman" w:cs="Times New Roman"/>
      <w:b/>
      <w:sz w:val="32"/>
      <w:szCs w:val="24"/>
      <w:lang w:val="de-DE" w:eastAsia="ar-SA"/>
    </w:rPr>
  </w:style>
  <w:style w:type="character" w:styleId="Numerstrony">
    <w:name w:val="page number"/>
    <w:basedOn w:val="Domylnaczcionkaakapitu"/>
    <w:rsid w:val="000931A1"/>
  </w:style>
  <w:style w:type="paragraph" w:styleId="Stopka">
    <w:name w:val="footer"/>
    <w:basedOn w:val="Normalny"/>
    <w:link w:val="StopkaZnak"/>
    <w:uiPriority w:val="99"/>
    <w:rsid w:val="000931A1"/>
    <w:pPr>
      <w:tabs>
        <w:tab w:val="center" w:pos="4536"/>
        <w:tab w:val="right" w:pos="9072"/>
      </w:tabs>
    </w:pPr>
    <w:rPr>
      <w:sz w:val="26"/>
      <w:szCs w:val="20"/>
    </w:rPr>
  </w:style>
  <w:style w:type="character" w:customStyle="1" w:styleId="StopkaZnak">
    <w:name w:val="Stopka Znak"/>
    <w:basedOn w:val="Domylnaczcionkaakapitu"/>
    <w:link w:val="Stopka"/>
    <w:uiPriority w:val="99"/>
    <w:rsid w:val="000931A1"/>
    <w:rPr>
      <w:rFonts w:ascii="Times New Roman" w:eastAsia="Times New Roman" w:hAnsi="Times New Roman" w:cs="Times New Roman"/>
      <w:sz w:val="26"/>
      <w:szCs w:val="20"/>
      <w:lang w:eastAsia="ar-SA"/>
    </w:rPr>
  </w:style>
  <w:style w:type="paragraph" w:customStyle="1" w:styleId="WW-Tekstpodstawowywcity3">
    <w:name w:val="WW-Tekst podstawowy wcięty 3"/>
    <w:basedOn w:val="Normalny"/>
    <w:uiPriority w:val="99"/>
    <w:rsid w:val="000931A1"/>
    <w:pPr>
      <w:ind w:left="708"/>
      <w:jc w:val="both"/>
    </w:pPr>
    <w:rPr>
      <w:sz w:val="26"/>
      <w:szCs w:val="20"/>
    </w:rPr>
  </w:style>
  <w:style w:type="character" w:customStyle="1" w:styleId="hps">
    <w:name w:val="hps"/>
    <w:basedOn w:val="Domylnaczcionkaakapitu"/>
    <w:uiPriority w:val="99"/>
    <w:rsid w:val="000931A1"/>
    <w:rPr>
      <w:rFonts w:cs="Times New Roman"/>
    </w:rPr>
  </w:style>
  <w:style w:type="paragraph" w:customStyle="1" w:styleId="WW-Tekstpodstawowy3">
    <w:name w:val="WW-Tekst podstawowy 3"/>
    <w:basedOn w:val="Normalny"/>
    <w:uiPriority w:val="99"/>
    <w:rsid w:val="000931A1"/>
    <w:rPr>
      <w:sz w:val="32"/>
      <w:szCs w:val="20"/>
    </w:rPr>
  </w:style>
  <w:style w:type="paragraph" w:styleId="Tekstpodstawowy">
    <w:name w:val="Body Text"/>
    <w:basedOn w:val="Normalny"/>
    <w:link w:val="TekstpodstawowyZnak"/>
    <w:rsid w:val="000931A1"/>
    <w:pPr>
      <w:suppressAutoHyphens w:val="0"/>
    </w:pPr>
    <w:rPr>
      <w:szCs w:val="20"/>
      <w:lang w:val="en-AU" w:eastAsia="en-US"/>
    </w:rPr>
  </w:style>
  <w:style w:type="character" w:customStyle="1" w:styleId="TekstpodstawowyZnak">
    <w:name w:val="Tekst podstawowy Znak"/>
    <w:basedOn w:val="Domylnaczcionkaakapitu"/>
    <w:link w:val="Tekstpodstawowy"/>
    <w:rsid w:val="000931A1"/>
    <w:rPr>
      <w:rFonts w:ascii="Times New Roman" w:eastAsia="Times New Roman" w:hAnsi="Times New Roman" w:cs="Times New Roman"/>
      <w:sz w:val="24"/>
      <w:szCs w:val="20"/>
      <w:lang w:val="en-AU"/>
    </w:rPr>
  </w:style>
  <w:style w:type="paragraph" w:customStyle="1" w:styleId="MoRPListBullet">
    <w:name w:val="MoRP List Bullet"/>
    <w:basedOn w:val="Normalny"/>
    <w:link w:val="MoRPListBulletChar"/>
    <w:rsid w:val="000931A1"/>
    <w:pPr>
      <w:numPr>
        <w:numId w:val="5"/>
      </w:numPr>
      <w:tabs>
        <w:tab w:val="left" w:pos="1985"/>
      </w:tabs>
      <w:suppressAutoHyphens w:val="0"/>
      <w:spacing w:line="288" w:lineRule="auto"/>
      <w:jc w:val="both"/>
    </w:pPr>
    <w:rPr>
      <w:rFonts w:ascii="Arial" w:hAnsi="Arial"/>
      <w:sz w:val="22"/>
      <w:szCs w:val="20"/>
      <w:lang w:eastAsia="en-US"/>
    </w:rPr>
  </w:style>
  <w:style w:type="character" w:customStyle="1" w:styleId="MoRPListBulletChar">
    <w:name w:val="MoRP List Bullet Char"/>
    <w:link w:val="MoRPListBullet"/>
    <w:locked/>
    <w:rsid w:val="000931A1"/>
    <w:rPr>
      <w:rFonts w:ascii="Arial" w:eastAsia="Times New Roman" w:hAnsi="Arial" w:cs="Times New Roman"/>
      <w:szCs w:val="20"/>
    </w:rPr>
  </w:style>
  <w:style w:type="paragraph" w:customStyle="1" w:styleId="Text">
    <w:name w:val="Text"/>
    <w:rsid w:val="000931A1"/>
    <w:pPr>
      <w:spacing w:after="0" w:line="240" w:lineRule="atLeast"/>
      <w:ind w:left="568"/>
    </w:pPr>
    <w:rPr>
      <w:rFonts w:ascii="Times New Roman" w:eastAsia="Times New Roman" w:hAnsi="Times New Roman" w:cs="Times New Roman"/>
      <w:szCs w:val="20"/>
      <w:lang w:eastAsia="de-DE"/>
    </w:rPr>
  </w:style>
  <w:style w:type="paragraph" w:styleId="Tekstprzypisukocowego">
    <w:name w:val="endnote text"/>
    <w:basedOn w:val="Normalny"/>
    <w:link w:val="TekstprzypisukocowegoZnak"/>
    <w:semiHidden/>
    <w:rsid w:val="000931A1"/>
    <w:pPr>
      <w:tabs>
        <w:tab w:val="left" w:pos="567"/>
      </w:tabs>
      <w:suppressAutoHyphens w:val="0"/>
    </w:pPr>
    <w:rPr>
      <w:sz w:val="22"/>
      <w:szCs w:val="20"/>
      <w:lang w:eastAsia="en-US"/>
    </w:rPr>
  </w:style>
  <w:style w:type="character" w:customStyle="1" w:styleId="TekstprzypisukocowegoZnak">
    <w:name w:val="Tekst przypisu końcowego Znak"/>
    <w:basedOn w:val="Domylnaczcionkaakapitu"/>
    <w:link w:val="Tekstprzypisukocowego"/>
    <w:semiHidden/>
    <w:rsid w:val="000931A1"/>
    <w:rPr>
      <w:rFonts w:ascii="Times New Roman" w:eastAsia="Times New Roman" w:hAnsi="Times New Roman" w:cs="Times New Roman"/>
      <w:szCs w:val="20"/>
    </w:rPr>
  </w:style>
  <w:style w:type="character" w:styleId="Hipercze">
    <w:name w:val="Hyperlink"/>
    <w:basedOn w:val="Domylnaczcionkaakapitu"/>
    <w:uiPriority w:val="99"/>
    <w:unhideWhenUsed/>
    <w:rsid w:val="00115644"/>
    <w:rPr>
      <w:color w:val="0563C1" w:themeColor="hyperlink"/>
      <w:u w:val="single"/>
    </w:rPr>
  </w:style>
  <w:style w:type="character" w:styleId="Odwoaniedokomentarza">
    <w:name w:val="annotation reference"/>
    <w:basedOn w:val="Domylnaczcionkaakapitu"/>
    <w:uiPriority w:val="99"/>
    <w:semiHidden/>
    <w:unhideWhenUsed/>
    <w:rsid w:val="00C63C1D"/>
    <w:rPr>
      <w:sz w:val="16"/>
      <w:szCs w:val="16"/>
    </w:rPr>
  </w:style>
  <w:style w:type="paragraph" w:styleId="Tekstkomentarza">
    <w:name w:val="annotation text"/>
    <w:basedOn w:val="Normalny"/>
    <w:link w:val="TekstkomentarzaZnak"/>
    <w:uiPriority w:val="99"/>
    <w:semiHidden/>
    <w:unhideWhenUsed/>
    <w:rsid w:val="00C63C1D"/>
    <w:rPr>
      <w:sz w:val="20"/>
      <w:szCs w:val="20"/>
    </w:rPr>
  </w:style>
  <w:style w:type="character" w:customStyle="1" w:styleId="TekstkomentarzaZnak">
    <w:name w:val="Tekst komentarza Znak"/>
    <w:basedOn w:val="Domylnaczcionkaakapitu"/>
    <w:link w:val="Tekstkomentarza"/>
    <w:uiPriority w:val="99"/>
    <w:semiHidden/>
    <w:rsid w:val="00C63C1D"/>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C63C1D"/>
    <w:rPr>
      <w:b/>
      <w:bCs/>
    </w:rPr>
  </w:style>
  <w:style w:type="character" w:customStyle="1" w:styleId="TematkomentarzaZnak">
    <w:name w:val="Temat komentarza Znak"/>
    <w:basedOn w:val="TekstkomentarzaZnak"/>
    <w:link w:val="Tematkomentarza"/>
    <w:uiPriority w:val="99"/>
    <w:semiHidden/>
    <w:rsid w:val="00C63C1D"/>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C63C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3C1D"/>
    <w:rPr>
      <w:rFonts w:ascii="Segoe UI" w:eastAsia="Times New Roman" w:hAnsi="Segoe UI" w:cs="Segoe UI"/>
      <w:sz w:val="18"/>
      <w:szCs w:val="18"/>
      <w:lang w:eastAsia="ar-SA"/>
    </w:rPr>
  </w:style>
  <w:style w:type="table" w:styleId="Tabela-Siatka">
    <w:name w:val="Table Grid"/>
    <w:basedOn w:val="Standardowy"/>
    <w:uiPriority w:val="39"/>
    <w:rsid w:val="00D1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4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1529</Words>
  <Characters>9176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Antoniewicz</dc:creator>
  <cp:keywords/>
  <dc:description/>
  <cp:lastModifiedBy>Grzegorz Marchel</cp:lastModifiedBy>
  <cp:revision>6</cp:revision>
  <dcterms:created xsi:type="dcterms:W3CDTF">2019-10-03T08:54:00Z</dcterms:created>
  <dcterms:modified xsi:type="dcterms:W3CDTF">2022-08-29T07:19:00Z</dcterms:modified>
</cp:coreProperties>
</file>