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50" w:rsidRPr="004710E9" w:rsidRDefault="007F0450" w:rsidP="00D75886">
      <w:pPr>
        <w:numPr>
          <w:ilvl w:val="0"/>
          <w:numId w:val="1"/>
        </w:numPr>
        <w:ind w:right="-144"/>
        <w:jc w:val="both"/>
        <w:rPr>
          <w:b/>
          <w:sz w:val="20"/>
          <w:szCs w:val="18"/>
        </w:rPr>
      </w:pPr>
      <w:r w:rsidRPr="004710E9">
        <w:rPr>
          <w:b/>
          <w:sz w:val="20"/>
          <w:szCs w:val="18"/>
        </w:rPr>
        <w:t xml:space="preserve">Skrócona informacja o leku: </w:t>
      </w:r>
      <w:r>
        <w:rPr>
          <w:b/>
          <w:sz w:val="20"/>
          <w:szCs w:val="18"/>
        </w:rPr>
        <w:t>GINKOFAR</w:t>
      </w:r>
      <w:r w:rsidRPr="004710E9">
        <w:rPr>
          <w:b/>
          <w:sz w:val="20"/>
          <w:szCs w:val="18"/>
          <w:vertAlign w:val="superscript"/>
        </w:rPr>
        <w:t>®</w:t>
      </w:r>
    </w:p>
    <w:p w:rsidR="007F0450" w:rsidRDefault="007F0450" w:rsidP="00D75886">
      <w:pPr>
        <w:pStyle w:val="Nagwek4"/>
        <w:numPr>
          <w:ilvl w:val="3"/>
          <w:numId w:val="1"/>
        </w:numPr>
        <w:jc w:val="both"/>
        <w:rPr>
          <w:sz w:val="22"/>
          <w:szCs w:val="22"/>
          <w:lang w:val="pl-PL"/>
        </w:rPr>
      </w:pPr>
    </w:p>
    <w:p w:rsidR="007F0450" w:rsidRDefault="007F0450" w:rsidP="00D75886">
      <w:pPr>
        <w:jc w:val="both"/>
        <w:rPr>
          <w:sz w:val="22"/>
          <w:szCs w:val="22"/>
        </w:rPr>
      </w:pPr>
    </w:p>
    <w:p w:rsidR="003153D6" w:rsidRPr="003153D6" w:rsidRDefault="007F0450" w:rsidP="00D75886">
      <w:pPr>
        <w:contextualSpacing/>
        <w:jc w:val="both"/>
        <w:rPr>
          <w:sz w:val="18"/>
          <w:szCs w:val="18"/>
        </w:rPr>
      </w:pPr>
      <w:r w:rsidRPr="00FC4DDA">
        <w:rPr>
          <w:b/>
          <w:bCs/>
          <w:sz w:val="18"/>
          <w:szCs w:val="22"/>
        </w:rPr>
        <w:t xml:space="preserve">GINKOFAR, 40 mg, tabletki powlekane: </w:t>
      </w:r>
      <w:r w:rsidR="003153D6">
        <w:rPr>
          <w:sz w:val="18"/>
          <w:szCs w:val="18"/>
        </w:rPr>
        <w:t>Jedna</w:t>
      </w:r>
      <w:r w:rsidR="003153D6" w:rsidRPr="003153D6">
        <w:rPr>
          <w:sz w:val="18"/>
          <w:szCs w:val="18"/>
        </w:rPr>
        <w:t xml:space="preserve"> tabletka powlekana zawiera 40 mg suchego wyciągu z </w:t>
      </w:r>
      <w:proofErr w:type="spellStart"/>
      <w:r w:rsidR="003153D6" w:rsidRPr="003153D6">
        <w:rPr>
          <w:i/>
          <w:sz w:val="18"/>
          <w:szCs w:val="18"/>
        </w:rPr>
        <w:t>Ginkgo</w:t>
      </w:r>
      <w:proofErr w:type="spellEnd"/>
      <w:r w:rsidR="003153D6" w:rsidRPr="003153D6">
        <w:rPr>
          <w:i/>
          <w:sz w:val="18"/>
          <w:szCs w:val="18"/>
        </w:rPr>
        <w:t xml:space="preserve"> </w:t>
      </w:r>
      <w:proofErr w:type="spellStart"/>
      <w:r w:rsidR="003153D6" w:rsidRPr="003153D6">
        <w:rPr>
          <w:i/>
          <w:sz w:val="18"/>
          <w:szCs w:val="18"/>
        </w:rPr>
        <w:t>biloba</w:t>
      </w:r>
      <w:proofErr w:type="spellEnd"/>
      <w:r w:rsidR="003153D6" w:rsidRPr="003153D6">
        <w:rPr>
          <w:sz w:val="18"/>
          <w:szCs w:val="18"/>
        </w:rPr>
        <w:t xml:space="preserve"> L., </w:t>
      </w:r>
      <w:proofErr w:type="spellStart"/>
      <w:r w:rsidR="003153D6" w:rsidRPr="003153D6">
        <w:rPr>
          <w:sz w:val="18"/>
          <w:szCs w:val="18"/>
        </w:rPr>
        <w:t>folium</w:t>
      </w:r>
      <w:proofErr w:type="spellEnd"/>
      <w:r w:rsidR="003153D6" w:rsidRPr="003153D6">
        <w:rPr>
          <w:sz w:val="18"/>
          <w:szCs w:val="18"/>
        </w:rPr>
        <w:t xml:space="preserve"> (liść miłorzębu) (35-67:1), w tym:</w:t>
      </w:r>
      <w:r w:rsidR="003153D6">
        <w:rPr>
          <w:sz w:val="18"/>
          <w:szCs w:val="18"/>
        </w:rPr>
        <w:t xml:space="preserve"> </w:t>
      </w:r>
      <w:r w:rsidR="003153D6" w:rsidRPr="003153D6">
        <w:rPr>
          <w:sz w:val="18"/>
          <w:szCs w:val="18"/>
        </w:rPr>
        <w:t>wyciąg natywny: 90-100%, o składzie:</w:t>
      </w:r>
      <w:r w:rsidR="003153D6">
        <w:rPr>
          <w:sz w:val="18"/>
          <w:szCs w:val="18"/>
        </w:rPr>
        <w:t xml:space="preserve"> </w:t>
      </w:r>
      <w:r w:rsidR="003153D6" w:rsidRPr="003153D6">
        <w:rPr>
          <w:sz w:val="18"/>
          <w:szCs w:val="18"/>
        </w:rPr>
        <w:t xml:space="preserve">22-27% </w:t>
      </w:r>
      <w:proofErr w:type="spellStart"/>
      <w:r w:rsidR="003153D6" w:rsidRPr="003153D6">
        <w:rPr>
          <w:sz w:val="18"/>
          <w:szCs w:val="18"/>
        </w:rPr>
        <w:t>ginkgoflawonoglikozydów</w:t>
      </w:r>
      <w:proofErr w:type="spellEnd"/>
      <w:r w:rsidR="003153D6" w:rsidRPr="003153D6">
        <w:rPr>
          <w:sz w:val="18"/>
          <w:szCs w:val="18"/>
        </w:rPr>
        <w:t>,</w:t>
      </w:r>
      <w:r w:rsidR="003153D6">
        <w:rPr>
          <w:sz w:val="18"/>
          <w:szCs w:val="18"/>
        </w:rPr>
        <w:t xml:space="preserve"> </w:t>
      </w:r>
      <w:r w:rsidR="003153D6" w:rsidRPr="003153D6">
        <w:rPr>
          <w:sz w:val="18"/>
          <w:szCs w:val="18"/>
        </w:rPr>
        <w:t xml:space="preserve">5-7% </w:t>
      </w:r>
      <w:proofErr w:type="spellStart"/>
      <w:r w:rsidR="003153D6" w:rsidRPr="003153D6">
        <w:rPr>
          <w:sz w:val="18"/>
          <w:szCs w:val="18"/>
        </w:rPr>
        <w:t>laktonów</w:t>
      </w:r>
      <w:proofErr w:type="spellEnd"/>
      <w:r w:rsidR="003153D6" w:rsidRPr="003153D6">
        <w:rPr>
          <w:sz w:val="18"/>
          <w:szCs w:val="18"/>
        </w:rPr>
        <w:t xml:space="preserve"> terpenowych (w tym 2,8-3,4% </w:t>
      </w:r>
      <w:proofErr w:type="spellStart"/>
      <w:r w:rsidR="003153D6" w:rsidRPr="003153D6">
        <w:rPr>
          <w:sz w:val="18"/>
          <w:szCs w:val="18"/>
        </w:rPr>
        <w:t>ginkgolidów</w:t>
      </w:r>
      <w:proofErr w:type="spellEnd"/>
      <w:r w:rsidR="003153D6" w:rsidRPr="003153D6">
        <w:rPr>
          <w:sz w:val="18"/>
          <w:szCs w:val="18"/>
        </w:rPr>
        <w:t xml:space="preserve"> A, B i C oraz 2,6-3,2% </w:t>
      </w:r>
      <w:proofErr w:type="spellStart"/>
      <w:r w:rsidR="003153D6" w:rsidRPr="003153D6">
        <w:rPr>
          <w:sz w:val="18"/>
          <w:szCs w:val="18"/>
        </w:rPr>
        <w:t>bilobalidu</w:t>
      </w:r>
      <w:proofErr w:type="spellEnd"/>
      <w:r w:rsidR="003153D6" w:rsidRPr="003153D6">
        <w:rPr>
          <w:sz w:val="18"/>
          <w:szCs w:val="18"/>
        </w:rPr>
        <w:t>),</w:t>
      </w:r>
      <w:r w:rsidR="003153D6">
        <w:rPr>
          <w:sz w:val="18"/>
          <w:szCs w:val="18"/>
        </w:rPr>
        <w:t xml:space="preserve"> </w:t>
      </w:r>
      <w:r w:rsidR="003153D6" w:rsidRPr="003153D6">
        <w:rPr>
          <w:sz w:val="18"/>
          <w:szCs w:val="18"/>
        </w:rPr>
        <w:t xml:space="preserve">nie więcej niż 5 ppm kwasów </w:t>
      </w:r>
      <w:proofErr w:type="spellStart"/>
      <w:r w:rsidR="003153D6" w:rsidRPr="003153D6">
        <w:rPr>
          <w:sz w:val="18"/>
          <w:szCs w:val="18"/>
        </w:rPr>
        <w:t>ginkgolowych</w:t>
      </w:r>
      <w:proofErr w:type="spellEnd"/>
      <w:r w:rsidR="003153D6" w:rsidRPr="003153D6">
        <w:rPr>
          <w:sz w:val="18"/>
          <w:szCs w:val="18"/>
        </w:rPr>
        <w:t>;</w:t>
      </w:r>
      <w:r w:rsidR="003153D6">
        <w:rPr>
          <w:sz w:val="18"/>
          <w:szCs w:val="18"/>
        </w:rPr>
        <w:t xml:space="preserve"> </w:t>
      </w:r>
      <w:r w:rsidR="003153D6" w:rsidRPr="003153D6">
        <w:rPr>
          <w:sz w:val="18"/>
          <w:szCs w:val="18"/>
        </w:rPr>
        <w:t>substancja pomocnicza: glukoza ciekła 0-10%.</w:t>
      </w:r>
      <w:r w:rsidR="003153D6">
        <w:rPr>
          <w:sz w:val="18"/>
          <w:szCs w:val="18"/>
        </w:rPr>
        <w:t xml:space="preserve"> </w:t>
      </w:r>
      <w:proofErr w:type="spellStart"/>
      <w:r w:rsidR="003153D6">
        <w:rPr>
          <w:sz w:val="18"/>
          <w:szCs w:val="18"/>
        </w:rPr>
        <w:t>E</w:t>
      </w:r>
      <w:r w:rsidR="003153D6" w:rsidRPr="003153D6">
        <w:rPr>
          <w:sz w:val="18"/>
          <w:szCs w:val="18"/>
        </w:rPr>
        <w:t>kstrahent</w:t>
      </w:r>
      <w:proofErr w:type="spellEnd"/>
      <w:r w:rsidR="003153D6" w:rsidRPr="003153D6">
        <w:rPr>
          <w:sz w:val="18"/>
          <w:szCs w:val="18"/>
        </w:rPr>
        <w:t xml:space="preserve"> aceton 60% m/m.</w:t>
      </w:r>
      <w:r w:rsidR="00D658D8">
        <w:rPr>
          <w:sz w:val="18"/>
          <w:szCs w:val="18"/>
        </w:rPr>
        <w:t xml:space="preserve"> </w:t>
      </w:r>
      <w:r w:rsidR="00D75886">
        <w:rPr>
          <w:sz w:val="18"/>
          <w:szCs w:val="18"/>
        </w:rPr>
        <w:t>Substancja pomocnicza o </w:t>
      </w:r>
      <w:r w:rsidR="003153D6" w:rsidRPr="003153D6">
        <w:rPr>
          <w:sz w:val="18"/>
          <w:szCs w:val="18"/>
        </w:rPr>
        <w:t xml:space="preserve">znanym działaniu: laktoza jednowodna 30 </w:t>
      </w:r>
      <w:proofErr w:type="spellStart"/>
      <w:r w:rsidR="003153D6" w:rsidRPr="003153D6">
        <w:rPr>
          <w:sz w:val="18"/>
          <w:szCs w:val="18"/>
        </w:rPr>
        <w:t>mg</w:t>
      </w:r>
      <w:proofErr w:type="spellEnd"/>
      <w:r w:rsidR="003153D6" w:rsidRPr="003153D6">
        <w:rPr>
          <w:sz w:val="18"/>
          <w:szCs w:val="18"/>
        </w:rPr>
        <w:t>.</w:t>
      </w:r>
    </w:p>
    <w:p w:rsidR="007F0450" w:rsidRPr="00FC4DDA" w:rsidRDefault="007F0450" w:rsidP="00D75886">
      <w:pPr>
        <w:contextualSpacing/>
        <w:jc w:val="both"/>
        <w:rPr>
          <w:bCs/>
          <w:sz w:val="18"/>
          <w:szCs w:val="22"/>
        </w:rPr>
      </w:pPr>
      <w:r w:rsidRPr="00FC4DDA">
        <w:rPr>
          <w:b/>
          <w:sz w:val="18"/>
          <w:szCs w:val="22"/>
        </w:rPr>
        <w:t xml:space="preserve">Kod i grupa farmakoterapeutyczna według klasyfikacji </w:t>
      </w:r>
      <w:r w:rsidRPr="00FC4DDA">
        <w:rPr>
          <w:b/>
          <w:bCs/>
          <w:sz w:val="18"/>
          <w:szCs w:val="22"/>
        </w:rPr>
        <w:t>ATC:</w:t>
      </w:r>
      <w:r w:rsidRPr="00FC4DDA">
        <w:rPr>
          <w:bCs/>
          <w:sz w:val="18"/>
          <w:szCs w:val="22"/>
        </w:rPr>
        <w:t xml:space="preserve"> N 06DX02; leki przeciw otępieniu starczemu, inne</w:t>
      </w:r>
    </w:p>
    <w:p w:rsidR="0051566B" w:rsidRPr="0051566B" w:rsidRDefault="007F0450" w:rsidP="00D75886">
      <w:pPr>
        <w:pStyle w:val="WW-Tekstpodstawowy3"/>
        <w:contextualSpacing/>
        <w:jc w:val="both"/>
        <w:rPr>
          <w:sz w:val="18"/>
          <w:szCs w:val="18"/>
        </w:rPr>
      </w:pPr>
      <w:r w:rsidRPr="00FC4DDA">
        <w:rPr>
          <w:b/>
          <w:bCs/>
          <w:sz w:val="18"/>
          <w:szCs w:val="22"/>
        </w:rPr>
        <w:t>Wskazania do stosowania:</w:t>
      </w:r>
      <w:r w:rsidR="00D658D8">
        <w:rPr>
          <w:b/>
          <w:bCs/>
          <w:sz w:val="18"/>
          <w:szCs w:val="22"/>
        </w:rPr>
        <w:t xml:space="preserve"> </w:t>
      </w:r>
      <w:proofErr w:type="spellStart"/>
      <w:r w:rsidRPr="00FC4DDA">
        <w:rPr>
          <w:sz w:val="18"/>
          <w:szCs w:val="22"/>
        </w:rPr>
        <w:t>Ginkofar</w:t>
      </w:r>
      <w:proofErr w:type="spellEnd"/>
      <w:r w:rsidRPr="00FC4DDA">
        <w:rPr>
          <w:sz w:val="18"/>
          <w:szCs w:val="22"/>
        </w:rPr>
        <w:t xml:space="preserve"> stosuje się w </w:t>
      </w:r>
      <w:r w:rsidR="00D658D8">
        <w:rPr>
          <w:sz w:val="18"/>
          <w:szCs w:val="22"/>
        </w:rPr>
        <w:t>celu poprawy zdolności poznawczych u osób starszych (osłabienie pamięci i sprawności umysłowej związane z wiekiem), w celu poprawy jakości życia w łagodnej demencji. Produkt jest wskazany do stosowania u osób dorosłych.</w:t>
      </w:r>
      <w:r w:rsidRPr="00FC4DDA">
        <w:rPr>
          <w:sz w:val="18"/>
          <w:szCs w:val="22"/>
        </w:rPr>
        <w:t xml:space="preserve"> </w:t>
      </w:r>
      <w:r w:rsidRPr="00FC4DDA">
        <w:rPr>
          <w:b/>
          <w:bCs/>
          <w:sz w:val="18"/>
          <w:szCs w:val="22"/>
        </w:rPr>
        <w:t xml:space="preserve">Dawkowanie i sposób podawania: </w:t>
      </w:r>
      <w:r w:rsidR="009C6633" w:rsidRPr="009C6633">
        <w:rPr>
          <w:sz w:val="18"/>
          <w:szCs w:val="18"/>
          <w:u w:val="single"/>
        </w:rPr>
        <w:t>Dawkowanie</w:t>
      </w:r>
      <w:r w:rsidR="009C6633">
        <w:rPr>
          <w:sz w:val="18"/>
          <w:szCs w:val="18"/>
          <w:u w:val="single"/>
        </w:rPr>
        <w:t xml:space="preserve">: </w:t>
      </w:r>
      <w:r w:rsidR="009C6633" w:rsidRPr="009C6633">
        <w:rPr>
          <w:sz w:val="18"/>
          <w:szCs w:val="18"/>
        </w:rPr>
        <w:t>Zalecana dawka u dorosłych wynosi 3 razy na dobę po 2 tabletki. Dawka dobowa: 6 tabletek</w:t>
      </w:r>
      <w:r w:rsidR="009C6633">
        <w:rPr>
          <w:sz w:val="18"/>
          <w:szCs w:val="18"/>
        </w:rPr>
        <w:t xml:space="preserve">. </w:t>
      </w:r>
      <w:r w:rsidR="009C6633" w:rsidRPr="009C6633">
        <w:rPr>
          <w:i/>
          <w:sz w:val="18"/>
          <w:szCs w:val="18"/>
        </w:rPr>
        <w:t xml:space="preserve">Dzieci i </w:t>
      </w:r>
      <w:proofErr w:type="spellStart"/>
      <w:r w:rsidR="009C6633" w:rsidRPr="009C6633">
        <w:rPr>
          <w:i/>
          <w:sz w:val="18"/>
          <w:szCs w:val="18"/>
        </w:rPr>
        <w:t>młodzież</w:t>
      </w:r>
      <w:r w:rsidR="009C6633">
        <w:rPr>
          <w:i/>
          <w:sz w:val="18"/>
          <w:szCs w:val="18"/>
        </w:rPr>
        <w:t>:</w:t>
      </w:r>
      <w:r w:rsidR="009C6633" w:rsidRPr="009C6633">
        <w:rPr>
          <w:sz w:val="18"/>
          <w:szCs w:val="18"/>
        </w:rPr>
        <w:t>Produktu</w:t>
      </w:r>
      <w:proofErr w:type="spellEnd"/>
      <w:r w:rsidR="009C6633" w:rsidRPr="009C6633">
        <w:rPr>
          <w:sz w:val="18"/>
          <w:szCs w:val="18"/>
        </w:rPr>
        <w:t xml:space="preserve"> leczniczego </w:t>
      </w:r>
      <w:proofErr w:type="spellStart"/>
      <w:r w:rsidR="009C6633" w:rsidRPr="009C6633">
        <w:rPr>
          <w:sz w:val="18"/>
          <w:szCs w:val="18"/>
        </w:rPr>
        <w:t>Ginkofar</w:t>
      </w:r>
      <w:proofErr w:type="spellEnd"/>
      <w:r w:rsidR="009C6633" w:rsidRPr="009C6633">
        <w:rPr>
          <w:sz w:val="18"/>
          <w:szCs w:val="18"/>
        </w:rPr>
        <w:t xml:space="preserve"> nie należy stosować u dzieci i młodzieży</w:t>
      </w:r>
      <w:r w:rsidR="009C6633">
        <w:rPr>
          <w:sz w:val="18"/>
          <w:szCs w:val="18"/>
        </w:rPr>
        <w:t xml:space="preserve">. </w:t>
      </w:r>
      <w:r w:rsidR="009C6633" w:rsidRPr="009C6633">
        <w:rPr>
          <w:sz w:val="18"/>
          <w:szCs w:val="18"/>
          <w:u w:val="single"/>
        </w:rPr>
        <w:t>Czas stosowania:</w:t>
      </w:r>
      <w:r w:rsidR="009C6633">
        <w:rPr>
          <w:sz w:val="18"/>
          <w:szCs w:val="18"/>
        </w:rPr>
        <w:t xml:space="preserve"> </w:t>
      </w:r>
      <w:r w:rsidR="009C6633" w:rsidRPr="009C6633">
        <w:rPr>
          <w:sz w:val="18"/>
          <w:szCs w:val="18"/>
        </w:rPr>
        <w:t>Leczenie powinno trwać co najmniej 8 tygodni. Jeżeli po 3 miesiącach stosowania  preparatu nie następuje poprawa lub jeżeli nastąpiło pogorszenie objawów, należy zwrócić się do lekarza  w celu ustalenia czy kontynuacja leczenia jest uzasadniona.</w:t>
      </w:r>
      <w:r w:rsidR="009C6633">
        <w:rPr>
          <w:sz w:val="18"/>
          <w:szCs w:val="18"/>
        </w:rPr>
        <w:t xml:space="preserve"> </w:t>
      </w:r>
      <w:r w:rsidR="009C6633" w:rsidRPr="009C6633">
        <w:rPr>
          <w:sz w:val="18"/>
          <w:szCs w:val="18"/>
          <w:u w:val="single"/>
        </w:rPr>
        <w:t>Sposób podawania</w:t>
      </w:r>
      <w:r w:rsidR="009C6633">
        <w:rPr>
          <w:sz w:val="18"/>
          <w:szCs w:val="18"/>
          <w:u w:val="single"/>
        </w:rPr>
        <w:t>:</w:t>
      </w:r>
      <w:r w:rsidR="009C6633">
        <w:rPr>
          <w:sz w:val="18"/>
          <w:szCs w:val="18"/>
        </w:rPr>
        <w:t xml:space="preserve"> </w:t>
      </w:r>
      <w:proofErr w:type="spellStart"/>
      <w:r w:rsidR="009C6633" w:rsidRPr="009C6633">
        <w:rPr>
          <w:sz w:val="18"/>
          <w:szCs w:val="18"/>
        </w:rPr>
        <w:t>Ginkofar</w:t>
      </w:r>
      <w:proofErr w:type="spellEnd"/>
      <w:r w:rsidR="009C6633" w:rsidRPr="009C6633">
        <w:rPr>
          <w:sz w:val="18"/>
          <w:szCs w:val="18"/>
        </w:rPr>
        <w:t xml:space="preserve"> przyj</w:t>
      </w:r>
      <w:r w:rsidR="00941981">
        <w:rPr>
          <w:sz w:val="18"/>
          <w:szCs w:val="18"/>
        </w:rPr>
        <w:t>muje si</w:t>
      </w:r>
      <w:r w:rsidR="00D75886">
        <w:rPr>
          <w:sz w:val="18"/>
          <w:szCs w:val="18"/>
        </w:rPr>
        <w:t xml:space="preserve">ę doustnie, po posiłku, </w:t>
      </w:r>
      <w:r w:rsidR="009C6633" w:rsidRPr="009C6633">
        <w:rPr>
          <w:sz w:val="18"/>
          <w:szCs w:val="18"/>
        </w:rPr>
        <w:t>popijając tabletkę płynem</w:t>
      </w:r>
      <w:r w:rsidR="009C6633">
        <w:t xml:space="preserve">. </w:t>
      </w:r>
      <w:r w:rsidRPr="00FC4DDA">
        <w:rPr>
          <w:b/>
          <w:bCs/>
          <w:sz w:val="18"/>
          <w:szCs w:val="22"/>
        </w:rPr>
        <w:t xml:space="preserve">Przeciwwskazania: </w:t>
      </w:r>
      <w:r w:rsidRPr="00FC4DDA">
        <w:rPr>
          <w:sz w:val="18"/>
          <w:szCs w:val="22"/>
        </w:rPr>
        <w:t xml:space="preserve">Nadwrażliwość na </w:t>
      </w:r>
      <w:r w:rsidR="006970E7">
        <w:rPr>
          <w:sz w:val="18"/>
          <w:szCs w:val="22"/>
        </w:rPr>
        <w:t>substancję czynną lub na którąkolwiek substancję pomocniczą, ciąża.</w:t>
      </w:r>
      <w:r w:rsidRPr="00FC4DDA">
        <w:rPr>
          <w:sz w:val="18"/>
          <w:szCs w:val="22"/>
        </w:rPr>
        <w:t xml:space="preserve"> </w:t>
      </w:r>
      <w:r w:rsidRPr="00FC4DDA">
        <w:rPr>
          <w:b/>
          <w:bCs/>
          <w:iCs/>
          <w:sz w:val="18"/>
          <w:szCs w:val="22"/>
        </w:rPr>
        <w:t xml:space="preserve">Specjalne ostrzeżenia i środki ostrożności dotyczące stosowania: </w:t>
      </w:r>
      <w:r w:rsidR="00A54FF0" w:rsidRPr="00A54FF0">
        <w:rPr>
          <w:sz w:val="18"/>
          <w:szCs w:val="18"/>
        </w:rPr>
        <w:t xml:space="preserve">W przypadku braku poprawy lub nasilenia objawów chorobowych podczas stosowania produktu, </w:t>
      </w:r>
      <w:r w:rsidR="00A54FF0" w:rsidRPr="00A54FF0">
        <w:rPr>
          <w:noProof/>
          <w:sz w:val="18"/>
          <w:szCs w:val="18"/>
        </w:rPr>
        <w:t>należy skontaktować się z lekarzem lub farmaceutą.</w:t>
      </w:r>
      <w:r w:rsidR="00A54FF0">
        <w:rPr>
          <w:noProof/>
          <w:sz w:val="18"/>
          <w:szCs w:val="18"/>
        </w:rPr>
        <w:t xml:space="preserve"> </w:t>
      </w:r>
      <w:r w:rsidR="00D75886">
        <w:rPr>
          <w:sz w:val="18"/>
          <w:szCs w:val="18"/>
        </w:rPr>
        <w:t>Osoby z </w:t>
      </w:r>
      <w:r w:rsidR="00A54FF0" w:rsidRPr="00A54FF0">
        <w:rPr>
          <w:sz w:val="18"/>
          <w:szCs w:val="18"/>
        </w:rPr>
        <w:t xml:space="preserve">patologicznie zwiększoną tendencją do krwawień (skaza krwotoczna) oraz osoby będące w trakcie terapii przeciwpłytkowej i przeciwzakrzepowej powinny skonsultować się z lekarzem przed zastosowaniem produktu leczniczego </w:t>
      </w:r>
      <w:proofErr w:type="spellStart"/>
      <w:r w:rsidR="00A54FF0" w:rsidRPr="00A54FF0">
        <w:rPr>
          <w:sz w:val="18"/>
          <w:szCs w:val="18"/>
        </w:rPr>
        <w:t>Ginkofar</w:t>
      </w:r>
      <w:proofErr w:type="spellEnd"/>
      <w:r w:rsidR="00A54FF0" w:rsidRPr="00A54FF0">
        <w:rPr>
          <w:sz w:val="18"/>
          <w:szCs w:val="18"/>
        </w:rPr>
        <w:t>.</w:t>
      </w:r>
      <w:r w:rsidR="00A54FF0">
        <w:rPr>
          <w:noProof/>
          <w:sz w:val="18"/>
          <w:szCs w:val="18"/>
        </w:rPr>
        <w:t xml:space="preserve"> </w:t>
      </w:r>
      <w:r w:rsidR="00A54FF0" w:rsidRPr="00A54FF0">
        <w:rPr>
          <w:sz w:val="18"/>
          <w:szCs w:val="18"/>
        </w:rPr>
        <w:t>Preparaty zawierające wyciąg z miłorzębu japońskiego mogą zwiększyć skłonność do krwawienia</w:t>
      </w:r>
      <w:r w:rsidR="00A54FF0">
        <w:rPr>
          <w:sz w:val="18"/>
          <w:szCs w:val="18"/>
        </w:rPr>
        <w:t xml:space="preserve">. </w:t>
      </w:r>
      <w:r w:rsidR="00A54FF0" w:rsidRPr="00A54FF0">
        <w:rPr>
          <w:sz w:val="18"/>
          <w:szCs w:val="18"/>
        </w:rPr>
        <w:t>W przypadku planowanego zabiegu chirurgicznego lub stomatologicznego zaleca się przerwać stosowanie produktu przynajmniej 3 – 4 dni przed planowanym zabiegiem.</w:t>
      </w:r>
      <w:r w:rsidR="00A54FF0">
        <w:rPr>
          <w:noProof/>
          <w:sz w:val="18"/>
          <w:szCs w:val="18"/>
        </w:rPr>
        <w:t xml:space="preserve"> </w:t>
      </w:r>
      <w:r w:rsidR="00A54FF0" w:rsidRPr="00A54FF0">
        <w:rPr>
          <w:rStyle w:val="hps"/>
          <w:rFonts w:eastAsia="Arial Unicode MS"/>
          <w:sz w:val="18"/>
          <w:szCs w:val="18"/>
        </w:rPr>
        <w:t>U pacjentów z padaczką nie można wykluczyć pojawienia się kolejnych napadów, spowodowanych przez przyjmowanie preparatów zawierających wyciąg z miłorzębu</w:t>
      </w:r>
      <w:r w:rsidR="00A54FF0" w:rsidRPr="00A54FF0">
        <w:rPr>
          <w:sz w:val="18"/>
          <w:szCs w:val="18"/>
        </w:rPr>
        <w:t>.</w:t>
      </w:r>
      <w:r w:rsidR="00A54FF0">
        <w:rPr>
          <w:noProof/>
          <w:sz w:val="18"/>
          <w:szCs w:val="18"/>
        </w:rPr>
        <w:t xml:space="preserve"> </w:t>
      </w:r>
      <w:r w:rsidR="00A54FF0" w:rsidRPr="00A54FF0">
        <w:rPr>
          <w:sz w:val="18"/>
          <w:szCs w:val="18"/>
        </w:rPr>
        <w:t xml:space="preserve">Nie zaleca się jednoczesnego stosowania </w:t>
      </w:r>
      <w:r w:rsidR="00A54FF0" w:rsidRPr="00A54FF0">
        <w:rPr>
          <w:bCs/>
          <w:sz w:val="18"/>
          <w:szCs w:val="18"/>
          <w:lang w:eastAsia="en-US"/>
        </w:rPr>
        <w:t>wyciągu z mi</w:t>
      </w:r>
      <w:r w:rsidR="00A54FF0">
        <w:rPr>
          <w:bCs/>
          <w:sz w:val="18"/>
          <w:szCs w:val="18"/>
          <w:lang w:eastAsia="en-US"/>
        </w:rPr>
        <w:t xml:space="preserve">łorzębu z </w:t>
      </w:r>
      <w:proofErr w:type="spellStart"/>
      <w:r w:rsidR="00A54FF0">
        <w:rPr>
          <w:bCs/>
          <w:sz w:val="18"/>
          <w:szCs w:val="18"/>
          <w:lang w:eastAsia="en-US"/>
        </w:rPr>
        <w:t>efawirenzem</w:t>
      </w:r>
      <w:proofErr w:type="spellEnd"/>
      <w:r w:rsidR="00A54FF0" w:rsidRPr="00A54FF0">
        <w:rPr>
          <w:bCs/>
          <w:sz w:val="18"/>
          <w:szCs w:val="18"/>
          <w:lang w:eastAsia="en-US"/>
        </w:rPr>
        <w:t>.</w:t>
      </w:r>
      <w:r w:rsidR="00A54FF0">
        <w:rPr>
          <w:noProof/>
          <w:sz w:val="18"/>
          <w:szCs w:val="18"/>
        </w:rPr>
        <w:t xml:space="preserve"> </w:t>
      </w:r>
      <w:r w:rsidR="00A54FF0" w:rsidRPr="00A54FF0">
        <w:rPr>
          <w:sz w:val="18"/>
          <w:szCs w:val="18"/>
          <w:u w:val="single"/>
        </w:rPr>
        <w:t>Substancje pomocnicze</w:t>
      </w:r>
      <w:r w:rsidR="00A54FF0">
        <w:rPr>
          <w:sz w:val="18"/>
          <w:szCs w:val="18"/>
          <w:u w:val="single"/>
        </w:rPr>
        <w:t>:</w:t>
      </w:r>
      <w:r w:rsidR="00A54FF0">
        <w:rPr>
          <w:sz w:val="18"/>
          <w:szCs w:val="18"/>
        </w:rPr>
        <w:t xml:space="preserve"> </w:t>
      </w:r>
      <w:r w:rsidR="00A54FF0" w:rsidRPr="00A54FF0">
        <w:rPr>
          <w:sz w:val="18"/>
          <w:szCs w:val="18"/>
        </w:rPr>
        <w:t xml:space="preserve">Produkt leczniczy zawiera glukozę i laktozę jednowodną, dlatego nie powinien być stosowany u pacjentów z rzadko występującą dziedziczną nietolerancją galaktozy, niedoborem laktazy (typu </w:t>
      </w:r>
      <w:proofErr w:type="spellStart"/>
      <w:r w:rsidR="00A54FF0" w:rsidRPr="00A54FF0">
        <w:rPr>
          <w:sz w:val="18"/>
          <w:szCs w:val="18"/>
        </w:rPr>
        <w:t>Lapp</w:t>
      </w:r>
      <w:proofErr w:type="spellEnd"/>
      <w:r w:rsidR="00A54FF0" w:rsidRPr="00A54FF0">
        <w:rPr>
          <w:sz w:val="18"/>
          <w:szCs w:val="18"/>
        </w:rPr>
        <w:t>) lub zespołem złego wchłaniania glukozy-galaktozy.</w:t>
      </w:r>
      <w:r w:rsidR="00A54FF0">
        <w:rPr>
          <w:noProof/>
          <w:sz w:val="18"/>
          <w:szCs w:val="18"/>
        </w:rPr>
        <w:t xml:space="preserve"> </w:t>
      </w:r>
      <w:r w:rsidRPr="00FC4DDA">
        <w:rPr>
          <w:b/>
          <w:bCs/>
          <w:sz w:val="18"/>
          <w:szCs w:val="22"/>
        </w:rPr>
        <w:t xml:space="preserve">Interakcje z innymi lekami i inne formy interakcji: </w:t>
      </w:r>
      <w:r w:rsidR="00D42726" w:rsidRPr="00D42726">
        <w:rPr>
          <w:sz w:val="18"/>
          <w:szCs w:val="18"/>
        </w:rPr>
        <w:t>Nie zaleca się jednoczesnego stosowania produktu leczniczego z lekami przeciwzakrzepowymi (</w:t>
      </w:r>
      <w:proofErr w:type="spellStart"/>
      <w:r w:rsidR="00D42726" w:rsidRPr="00D42726">
        <w:rPr>
          <w:sz w:val="18"/>
          <w:szCs w:val="18"/>
        </w:rPr>
        <w:t>fenprokumon</w:t>
      </w:r>
      <w:proofErr w:type="spellEnd"/>
      <w:r w:rsidR="00D42726" w:rsidRPr="00D42726">
        <w:rPr>
          <w:sz w:val="18"/>
          <w:szCs w:val="18"/>
        </w:rPr>
        <w:t xml:space="preserve">, </w:t>
      </w:r>
      <w:proofErr w:type="spellStart"/>
      <w:r w:rsidR="00D42726" w:rsidRPr="00D42726">
        <w:rPr>
          <w:sz w:val="18"/>
          <w:szCs w:val="18"/>
        </w:rPr>
        <w:t>warfaryna</w:t>
      </w:r>
      <w:proofErr w:type="spellEnd"/>
      <w:r w:rsidR="00D42726" w:rsidRPr="00D42726">
        <w:rPr>
          <w:sz w:val="18"/>
          <w:szCs w:val="18"/>
        </w:rPr>
        <w:t>) oraz lekami przeciwpłytkowymi (</w:t>
      </w:r>
      <w:proofErr w:type="spellStart"/>
      <w:r w:rsidR="00D42726" w:rsidRPr="00D42726">
        <w:rPr>
          <w:sz w:val="18"/>
          <w:szCs w:val="18"/>
        </w:rPr>
        <w:t>klopidogrel</w:t>
      </w:r>
      <w:proofErr w:type="spellEnd"/>
      <w:r w:rsidR="00D42726" w:rsidRPr="00D42726">
        <w:rPr>
          <w:sz w:val="18"/>
          <w:szCs w:val="18"/>
        </w:rPr>
        <w:t xml:space="preserve">, kwas acetylosalicylowy i inne niesteroidowe leki przeciwzapalne). </w:t>
      </w:r>
      <w:r w:rsidR="00D42726" w:rsidRPr="00D42726">
        <w:rPr>
          <w:bCs/>
          <w:sz w:val="18"/>
          <w:szCs w:val="18"/>
          <w:lang w:eastAsia="en-US"/>
        </w:rPr>
        <w:t xml:space="preserve">Dostępne badania dotyczące </w:t>
      </w:r>
      <w:proofErr w:type="spellStart"/>
      <w:r w:rsidR="00D42726" w:rsidRPr="00D42726">
        <w:rPr>
          <w:bCs/>
          <w:sz w:val="18"/>
          <w:szCs w:val="18"/>
          <w:lang w:eastAsia="en-US"/>
        </w:rPr>
        <w:t>warfaryny</w:t>
      </w:r>
      <w:proofErr w:type="spellEnd"/>
      <w:r w:rsidR="00D42726" w:rsidRPr="00D42726">
        <w:rPr>
          <w:bCs/>
          <w:sz w:val="18"/>
          <w:szCs w:val="18"/>
          <w:lang w:eastAsia="en-US"/>
        </w:rPr>
        <w:t xml:space="preserve"> nie wskazują na występowanie interakcji pomiędzy </w:t>
      </w:r>
      <w:proofErr w:type="spellStart"/>
      <w:r w:rsidR="00D42726" w:rsidRPr="00D42726">
        <w:rPr>
          <w:bCs/>
          <w:sz w:val="18"/>
          <w:szCs w:val="18"/>
          <w:lang w:eastAsia="en-US"/>
        </w:rPr>
        <w:t>warfaryną</w:t>
      </w:r>
      <w:proofErr w:type="spellEnd"/>
      <w:r w:rsidR="00D42726" w:rsidRPr="00D42726">
        <w:rPr>
          <w:bCs/>
          <w:sz w:val="18"/>
          <w:szCs w:val="18"/>
          <w:lang w:eastAsia="en-US"/>
        </w:rPr>
        <w:t xml:space="preserve"> a produktami zawierającymi </w:t>
      </w:r>
      <w:proofErr w:type="spellStart"/>
      <w:r w:rsidR="00D42726" w:rsidRPr="00D42726">
        <w:rPr>
          <w:bCs/>
          <w:sz w:val="18"/>
          <w:szCs w:val="18"/>
          <w:lang w:eastAsia="en-US"/>
        </w:rPr>
        <w:t>Ginkgo</w:t>
      </w:r>
      <w:proofErr w:type="spellEnd"/>
      <w:r w:rsidR="00D42726" w:rsidRPr="00D42726">
        <w:rPr>
          <w:bCs/>
          <w:sz w:val="18"/>
          <w:szCs w:val="18"/>
          <w:lang w:eastAsia="en-US"/>
        </w:rPr>
        <w:t xml:space="preserve"> </w:t>
      </w:r>
      <w:proofErr w:type="spellStart"/>
      <w:r w:rsidR="00D42726" w:rsidRPr="00D42726">
        <w:rPr>
          <w:bCs/>
          <w:sz w:val="18"/>
          <w:szCs w:val="18"/>
          <w:lang w:eastAsia="en-US"/>
        </w:rPr>
        <w:t>biloba</w:t>
      </w:r>
      <w:proofErr w:type="spellEnd"/>
      <w:r w:rsidR="00D42726" w:rsidRPr="00D42726">
        <w:rPr>
          <w:bCs/>
          <w:sz w:val="18"/>
          <w:szCs w:val="18"/>
          <w:lang w:eastAsia="en-US"/>
        </w:rPr>
        <w:t>, jednak zaleca się odpowiednie monitorowanie w czasie rozpoczęcia leczenia, zmiany dawkowania, zakończenia leczenia lub zmiany produktu leczniczego.</w:t>
      </w:r>
      <w:r w:rsidR="00D42726">
        <w:rPr>
          <w:bCs/>
          <w:sz w:val="18"/>
          <w:szCs w:val="18"/>
          <w:lang w:eastAsia="en-US"/>
        </w:rPr>
        <w:t xml:space="preserve"> </w:t>
      </w:r>
      <w:r w:rsidR="00D42726" w:rsidRPr="00D42726">
        <w:rPr>
          <w:sz w:val="18"/>
          <w:szCs w:val="18"/>
        </w:rPr>
        <w:t xml:space="preserve">Badania interakcji </w:t>
      </w:r>
      <w:r w:rsidR="00D42726" w:rsidRPr="00D42726">
        <w:rPr>
          <w:rStyle w:val="hps"/>
          <w:rFonts w:eastAsia="Arial Unicode MS"/>
          <w:sz w:val="18"/>
          <w:szCs w:val="18"/>
        </w:rPr>
        <w:t xml:space="preserve">z </w:t>
      </w:r>
      <w:proofErr w:type="spellStart"/>
      <w:r w:rsidR="00D42726" w:rsidRPr="00D42726">
        <w:rPr>
          <w:rStyle w:val="hps"/>
          <w:rFonts w:eastAsia="Arial Unicode MS"/>
          <w:sz w:val="18"/>
          <w:szCs w:val="18"/>
        </w:rPr>
        <w:t>talinololem</w:t>
      </w:r>
      <w:proofErr w:type="spellEnd"/>
      <w:r w:rsidR="00D42726" w:rsidRPr="00D42726">
        <w:rPr>
          <w:rStyle w:val="hps"/>
          <w:rFonts w:eastAsia="Arial Unicode MS"/>
          <w:sz w:val="18"/>
          <w:szCs w:val="18"/>
        </w:rPr>
        <w:t xml:space="preserve"> wskazują, że </w:t>
      </w:r>
      <w:r w:rsidR="00D42726" w:rsidRPr="00D42726">
        <w:rPr>
          <w:bCs/>
          <w:sz w:val="18"/>
          <w:szCs w:val="18"/>
          <w:lang w:eastAsia="en-US"/>
        </w:rPr>
        <w:t xml:space="preserve">wyciąg z miłorzębu </w:t>
      </w:r>
      <w:r w:rsidR="00D42726" w:rsidRPr="00D42726">
        <w:rPr>
          <w:rStyle w:val="hps"/>
          <w:rFonts w:eastAsia="Arial Unicode MS"/>
          <w:sz w:val="18"/>
          <w:szCs w:val="18"/>
        </w:rPr>
        <w:t>hamuje aktywność glikoproteiny P</w:t>
      </w:r>
      <w:r w:rsidR="00D42726" w:rsidRPr="00D42726">
        <w:rPr>
          <w:sz w:val="18"/>
          <w:szCs w:val="18"/>
        </w:rPr>
        <w:t xml:space="preserve"> w ścianie </w:t>
      </w:r>
      <w:r w:rsidR="00D42726" w:rsidRPr="00D42726">
        <w:rPr>
          <w:rStyle w:val="hps"/>
          <w:rFonts w:eastAsia="Arial Unicode MS"/>
          <w:sz w:val="18"/>
          <w:szCs w:val="18"/>
        </w:rPr>
        <w:t>jelit</w:t>
      </w:r>
      <w:r w:rsidR="00D42726" w:rsidRPr="00D42726">
        <w:rPr>
          <w:sz w:val="18"/>
          <w:szCs w:val="18"/>
        </w:rPr>
        <w:t xml:space="preserve">. </w:t>
      </w:r>
      <w:r w:rsidR="00D42726" w:rsidRPr="00D42726">
        <w:rPr>
          <w:rStyle w:val="hps"/>
          <w:rFonts w:eastAsia="Arial Unicode MS"/>
          <w:sz w:val="18"/>
          <w:szCs w:val="18"/>
        </w:rPr>
        <w:t xml:space="preserve">Może to spowodować zwiększone narażenie na leki, w których eliminacji znaczny udział bierze glikoproteina P w ścianie jelit, </w:t>
      </w:r>
      <w:r w:rsidR="00D42726" w:rsidRPr="00D42726">
        <w:rPr>
          <w:sz w:val="18"/>
          <w:szCs w:val="18"/>
        </w:rPr>
        <w:t xml:space="preserve">jak np. </w:t>
      </w:r>
      <w:proofErr w:type="spellStart"/>
      <w:r w:rsidR="00D42726" w:rsidRPr="00D42726">
        <w:rPr>
          <w:rStyle w:val="hps"/>
          <w:rFonts w:eastAsia="Arial Unicode MS"/>
          <w:sz w:val="18"/>
          <w:szCs w:val="18"/>
        </w:rPr>
        <w:t>dabigatranu</w:t>
      </w:r>
      <w:proofErr w:type="spellEnd"/>
      <w:r w:rsidR="00D42726" w:rsidRPr="00D42726">
        <w:rPr>
          <w:rStyle w:val="hps"/>
          <w:rFonts w:eastAsia="Arial Unicode MS"/>
          <w:sz w:val="18"/>
          <w:szCs w:val="18"/>
        </w:rPr>
        <w:t xml:space="preserve"> </w:t>
      </w:r>
      <w:proofErr w:type="spellStart"/>
      <w:r w:rsidR="00D42726" w:rsidRPr="00D42726">
        <w:rPr>
          <w:rStyle w:val="hps"/>
          <w:rFonts w:eastAsia="Arial Unicode MS"/>
          <w:sz w:val="18"/>
          <w:szCs w:val="18"/>
        </w:rPr>
        <w:t>eteksylan</w:t>
      </w:r>
      <w:proofErr w:type="spellEnd"/>
      <w:r w:rsidR="00D42726" w:rsidRPr="00D42726">
        <w:rPr>
          <w:rStyle w:val="hps"/>
          <w:rFonts w:eastAsia="Arial Unicode MS"/>
          <w:sz w:val="18"/>
          <w:szCs w:val="18"/>
        </w:rPr>
        <w:t>. Zalecana jest ostrożność w przypadku</w:t>
      </w:r>
      <w:r w:rsidR="00D42726" w:rsidRPr="00D42726">
        <w:rPr>
          <w:sz w:val="18"/>
          <w:szCs w:val="18"/>
        </w:rPr>
        <w:t xml:space="preserve"> jednoczesnego stosowania </w:t>
      </w:r>
      <w:r w:rsidR="00D42726" w:rsidRPr="00D42726">
        <w:rPr>
          <w:bCs/>
          <w:sz w:val="18"/>
          <w:szCs w:val="18"/>
          <w:lang w:eastAsia="en-US"/>
        </w:rPr>
        <w:t xml:space="preserve">wyciągu z miłorzębu </w:t>
      </w:r>
      <w:r w:rsidR="00D42726" w:rsidRPr="00D42726">
        <w:rPr>
          <w:rStyle w:val="hps"/>
          <w:rFonts w:eastAsia="Arial Unicode MS"/>
          <w:sz w:val="18"/>
          <w:szCs w:val="18"/>
        </w:rPr>
        <w:t xml:space="preserve">i </w:t>
      </w:r>
      <w:proofErr w:type="spellStart"/>
      <w:r w:rsidR="00D42726" w:rsidRPr="00D42726">
        <w:rPr>
          <w:rStyle w:val="hps"/>
          <w:rFonts w:eastAsia="Arial Unicode MS"/>
          <w:sz w:val="18"/>
          <w:szCs w:val="18"/>
        </w:rPr>
        <w:t>dabigatranu</w:t>
      </w:r>
      <w:proofErr w:type="spellEnd"/>
      <w:r w:rsidR="00D42726" w:rsidRPr="00D42726">
        <w:rPr>
          <w:sz w:val="18"/>
          <w:szCs w:val="18"/>
        </w:rPr>
        <w:t>.</w:t>
      </w:r>
      <w:r w:rsidR="00D42726">
        <w:rPr>
          <w:bCs/>
          <w:sz w:val="18"/>
          <w:szCs w:val="18"/>
          <w:lang w:eastAsia="en-US"/>
        </w:rPr>
        <w:t xml:space="preserve"> </w:t>
      </w:r>
      <w:r w:rsidR="00D42726" w:rsidRPr="00D42726">
        <w:rPr>
          <w:sz w:val="18"/>
          <w:szCs w:val="18"/>
        </w:rPr>
        <w:t xml:space="preserve">Jedno z badań wykazało, że wartość </w:t>
      </w:r>
      <w:proofErr w:type="spellStart"/>
      <w:r w:rsidR="00D42726" w:rsidRPr="00D42726">
        <w:rPr>
          <w:sz w:val="18"/>
          <w:szCs w:val="18"/>
        </w:rPr>
        <w:t>C</w:t>
      </w:r>
      <w:r w:rsidR="00D42726" w:rsidRPr="00D42726">
        <w:rPr>
          <w:sz w:val="18"/>
          <w:szCs w:val="18"/>
          <w:vertAlign w:val="subscript"/>
        </w:rPr>
        <w:t>max</w:t>
      </w:r>
      <w:proofErr w:type="spellEnd"/>
      <w:r w:rsidR="00D42726" w:rsidRPr="00D42726">
        <w:rPr>
          <w:sz w:val="18"/>
          <w:szCs w:val="18"/>
        </w:rPr>
        <w:t xml:space="preserve"> </w:t>
      </w:r>
      <w:proofErr w:type="spellStart"/>
      <w:r w:rsidR="00D42726" w:rsidRPr="00D42726">
        <w:rPr>
          <w:sz w:val="18"/>
          <w:szCs w:val="18"/>
        </w:rPr>
        <w:t>nifedypiny</w:t>
      </w:r>
      <w:proofErr w:type="spellEnd"/>
      <w:r w:rsidR="00D42726" w:rsidRPr="00D42726">
        <w:rPr>
          <w:sz w:val="18"/>
          <w:szCs w:val="18"/>
        </w:rPr>
        <w:t xml:space="preserve"> może być zwiększona podczas jednoczesnego stosowania </w:t>
      </w:r>
      <w:r w:rsidR="00D42726" w:rsidRPr="00D42726">
        <w:rPr>
          <w:bCs/>
          <w:sz w:val="18"/>
          <w:szCs w:val="18"/>
          <w:lang w:eastAsia="en-US"/>
        </w:rPr>
        <w:t>wyciągu z miłorzębu</w:t>
      </w:r>
      <w:r w:rsidR="00D42726" w:rsidRPr="00D42726">
        <w:rPr>
          <w:sz w:val="18"/>
          <w:szCs w:val="18"/>
        </w:rPr>
        <w:t xml:space="preserve">. U niektórych osób obserwowano wzrost wartości </w:t>
      </w:r>
      <w:proofErr w:type="spellStart"/>
      <w:r w:rsidR="00D42726" w:rsidRPr="00D42726">
        <w:rPr>
          <w:sz w:val="18"/>
          <w:szCs w:val="18"/>
        </w:rPr>
        <w:t>C</w:t>
      </w:r>
      <w:r w:rsidR="00D42726" w:rsidRPr="00D42726">
        <w:rPr>
          <w:sz w:val="18"/>
          <w:szCs w:val="18"/>
          <w:vertAlign w:val="subscript"/>
        </w:rPr>
        <w:t>max</w:t>
      </w:r>
      <w:proofErr w:type="spellEnd"/>
      <w:r w:rsidR="00D42726" w:rsidRPr="00D42726">
        <w:rPr>
          <w:sz w:val="18"/>
          <w:szCs w:val="18"/>
        </w:rPr>
        <w:t xml:space="preserve"> o prawie 100%, co powodowało występowanie zawrotów głowy i nasilenie uderzeń gorąca objawiających się np. zaczerwienieniem twarzy.</w:t>
      </w:r>
      <w:r w:rsidR="00D42726">
        <w:rPr>
          <w:bCs/>
          <w:sz w:val="18"/>
          <w:szCs w:val="18"/>
          <w:lang w:eastAsia="en-US"/>
        </w:rPr>
        <w:t xml:space="preserve"> </w:t>
      </w:r>
      <w:r w:rsidR="00D42726" w:rsidRPr="00D42726">
        <w:rPr>
          <w:sz w:val="18"/>
          <w:szCs w:val="18"/>
        </w:rPr>
        <w:t xml:space="preserve">Nie zaleca się jednoczesnego stosowania </w:t>
      </w:r>
      <w:r w:rsidR="00D42726" w:rsidRPr="00D42726">
        <w:rPr>
          <w:bCs/>
          <w:sz w:val="18"/>
          <w:szCs w:val="18"/>
          <w:lang w:eastAsia="en-US"/>
        </w:rPr>
        <w:t xml:space="preserve">wyciągu z miłorzębu z </w:t>
      </w:r>
      <w:proofErr w:type="spellStart"/>
      <w:r w:rsidR="00D42726" w:rsidRPr="00D42726">
        <w:rPr>
          <w:bCs/>
          <w:sz w:val="18"/>
          <w:szCs w:val="18"/>
          <w:lang w:eastAsia="en-US"/>
        </w:rPr>
        <w:t>efawirenzem</w:t>
      </w:r>
      <w:proofErr w:type="spellEnd"/>
      <w:r w:rsidR="00D42726" w:rsidRPr="00D42726">
        <w:rPr>
          <w:bCs/>
          <w:sz w:val="18"/>
          <w:szCs w:val="18"/>
          <w:lang w:eastAsia="en-US"/>
        </w:rPr>
        <w:t xml:space="preserve">, gdyż stężenie </w:t>
      </w:r>
      <w:proofErr w:type="spellStart"/>
      <w:r w:rsidR="00D42726" w:rsidRPr="00D42726">
        <w:rPr>
          <w:bCs/>
          <w:sz w:val="18"/>
          <w:szCs w:val="18"/>
          <w:lang w:eastAsia="en-US"/>
        </w:rPr>
        <w:t>efawirenzu</w:t>
      </w:r>
      <w:proofErr w:type="spellEnd"/>
      <w:r w:rsidR="00D42726" w:rsidRPr="00D42726">
        <w:rPr>
          <w:bCs/>
          <w:sz w:val="18"/>
          <w:szCs w:val="18"/>
          <w:lang w:eastAsia="en-US"/>
        </w:rPr>
        <w:t xml:space="preserve"> w osoczu może być zmniejszone w wyniku </w:t>
      </w:r>
      <w:proofErr w:type="spellStart"/>
      <w:r w:rsidR="00D42726" w:rsidRPr="00D42726">
        <w:rPr>
          <w:bCs/>
          <w:sz w:val="18"/>
          <w:szCs w:val="18"/>
          <w:lang w:eastAsia="en-US"/>
        </w:rPr>
        <w:t>indukcju</w:t>
      </w:r>
      <w:proofErr w:type="spellEnd"/>
      <w:r w:rsidR="00D42726" w:rsidRPr="00D42726">
        <w:rPr>
          <w:bCs/>
          <w:sz w:val="18"/>
          <w:szCs w:val="18"/>
          <w:lang w:eastAsia="en-US"/>
        </w:rPr>
        <w:t xml:space="preserve"> iz</w:t>
      </w:r>
      <w:r w:rsidR="00D42726">
        <w:rPr>
          <w:bCs/>
          <w:sz w:val="18"/>
          <w:szCs w:val="18"/>
          <w:lang w:eastAsia="en-US"/>
        </w:rPr>
        <w:t>oenzymu CYP3A4</w:t>
      </w:r>
      <w:r w:rsidR="00D42726" w:rsidRPr="00D42726">
        <w:rPr>
          <w:bCs/>
          <w:sz w:val="18"/>
          <w:szCs w:val="18"/>
          <w:lang w:eastAsia="en-US"/>
        </w:rPr>
        <w:t>.</w:t>
      </w:r>
      <w:r w:rsidR="00D42726">
        <w:rPr>
          <w:bCs/>
          <w:sz w:val="18"/>
          <w:szCs w:val="18"/>
          <w:lang w:eastAsia="en-US"/>
        </w:rPr>
        <w:t xml:space="preserve"> </w:t>
      </w:r>
      <w:r w:rsidR="009901E4">
        <w:rPr>
          <w:b/>
          <w:bCs/>
          <w:sz w:val="18"/>
          <w:szCs w:val="22"/>
        </w:rPr>
        <w:t>Wpływ na płodność, ciążę i laktację</w:t>
      </w:r>
      <w:r w:rsidRPr="00FC4DDA">
        <w:rPr>
          <w:b/>
          <w:bCs/>
          <w:sz w:val="18"/>
          <w:szCs w:val="22"/>
        </w:rPr>
        <w:t xml:space="preserve">: </w:t>
      </w:r>
      <w:r w:rsidR="00C247E0" w:rsidRPr="00C247E0">
        <w:rPr>
          <w:sz w:val="18"/>
          <w:szCs w:val="18"/>
          <w:u w:val="single"/>
        </w:rPr>
        <w:t>Ciąża</w:t>
      </w:r>
      <w:r w:rsidR="00C247E0">
        <w:rPr>
          <w:sz w:val="18"/>
          <w:szCs w:val="18"/>
          <w:u w:val="single"/>
        </w:rPr>
        <w:t>:</w:t>
      </w:r>
      <w:r w:rsidR="00C247E0">
        <w:rPr>
          <w:sz w:val="18"/>
          <w:szCs w:val="18"/>
        </w:rPr>
        <w:t xml:space="preserve"> </w:t>
      </w:r>
      <w:r w:rsidR="00C247E0" w:rsidRPr="00C247E0">
        <w:rPr>
          <w:sz w:val="18"/>
          <w:szCs w:val="18"/>
        </w:rPr>
        <w:t>Wyciągi z miłorzębu mogą upośledzać zdolność płytek krwi do agregacji.</w:t>
      </w:r>
      <w:r w:rsidR="00C247E0">
        <w:rPr>
          <w:sz w:val="18"/>
          <w:szCs w:val="18"/>
        </w:rPr>
        <w:t xml:space="preserve"> Skłonność do krwawień może być </w:t>
      </w:r>
      <w:r w:rsidR="00C247E0" w:rsidRPr="00C247E0">
        <w:rPr>
          <w:sz w:val="18"/>
          <w:szCs w:val="18"/>
        </w:rPr>
        <w:t>zwiększona. Badania na zwierzętach dotyczące toksycznego wpływu na reprodukcję są ni</w:t>
      </w:r>
      <w:r w:rsidR="00C247E0">
        <w:rPr>
          <w:sz w:val="18"/>
          <w:szCs w:val="18"/>
        </w:rPr>
        <w:t>ewystarczające</w:t>
      </w:r>
      <w:r w:rsidR="00C247E0" w:rsidRPr="00C247E0">
        <w:rPr>
          <w:sz w:val="18"/>
          <w:szCs w:val="18"/>
        </w:rPr>
        <w:t>.</w:t>
      </w:r>
      <w:r w:rsidR="00C247E0">
        <w:rPr>
          <w:sz w:val="18"/>
          <w:szCs w:val="18"/>
        </w:rPr>
        <w:t xml:space="preserve"> </w:t>
      </w:r>
      <w:r w:rsidR="00C247E0" w:rsidRPr="00C247E0">
        <w:rPr>
          <w:sz w:val="18"/>
          <w:szCs w:val="18"/>
        </w:rPr>
        <w:t xml:space="preserve">Stosowanie produktu </w:t>
      </w:r>
      <w:proofErr w:type="spellStart"/>
      <w:r w:rsidR="00C247E0" w:rsidRPr="00C247E0">
        <w:rPr>
          <w:sz w:val="18"/>
          <w:szCs w:val="18"/>
        </w:rPr>
        <w:t>Ginkofar</w:t>
      </w:r>
      <w:proofErr w:type="spellEnd"/>
      <w:r w:rsidR="00C247E0" w:rsidRPr="00C247E0">
        <w:rPr>
          <w:sz w:val="18"/>
          <w:szCs w:val="18"/>
        </w:rPr>
        <w:t xml:space="preserve">  jest przeciwwskazane u kobiet </w:t>
      </w:r>
      <w:r w:rsidR="00C247E0">
        <w:rPr>
          <w:sz w:val="18"/>
          <w:szCs w:val="18"/>
        </w:rPr>
        <w:t>w ciąży</w:t>
      </w:r>
      <w:r w:rsidR="00C247E0" w:rsidRPr="00C247E0">
        <w:rPr>
          <w:sz w:val="18"/>
          <w:szCs w:val="18"/>
        </w:rPr>
        <w:t>.</w:t>
      </w:r>
      <w:r w:rsidR="00C247E0">
        <w:rPr>
          <w:sz w:val="18"/>
          <w:szCs w:val="18"/>
        </w:rPr>
        <w:t xml:space="preserve"> </w:t>
      </w:r>
      <w:r w:rsidR="00C247E0" w:rsidRPr="00C247E0">
        <w:rPr>
          <w:sz w:val="18"/>
          <w:szCs w:val="18"/>
          <w:u w:val="single"/>
        </w:rPr>
        <w:t>Karmienie piersią</w:t>
      </w:r>
      <w:r w:rsidR="00C247E0">
        <w:rPr>
          <w:sz w:val="18"/>
          <w:szCs w:val="18"/>
          <w:u w:val="single"/>
        </w:rPr>
        <w:t>:</w:t>
      </w:r>
      <w:r w:rsidR="00C247E0">
        <w:rPr>
          <w:sz w:val="18"/>
          <w:szCs w:val="18"/>
        </w:rPr>
        <w:t xml:space="preserve"> </w:t>
      </w:r>
      <w:r w:rsidR="00C247E0" w:rsidRPr="00C247E0">
        <w:rPr>
          <w:rStyle w:val="hps"/>
          <w:rFonts w:eastAsia="Arial Unicode MS"/>
          <w:sz w:val="18"/>
          <w:szCs w:val="18"/>
        </w:rPr>
        <w:t>Nie wiadomo, czy</w:t>
      </w:r>
      <w:r w:rsidR="00C247E0" w:rsidRPr="00C247E0">
        <w:rPr>
          <w:sz w:val="18"/>
          <w:szCs w:val="18"/>
        </w:rPr>
        <w:t xml:space="preserve"> wyciąg z miłorzębu lub jego </w:t>
      </w:r>
      <w:r w:rsidR="00C247E0" w:rsidRPr="00C247E0">
        <w:rPr>
          <w:rStyle w:val="hps"/>
          <w:rFonts w:eastAsia="Arial Unicode MS"/>
          <w:sz w:val="18"/>
          <w:szCs w:val="18"/>
        </w:rPr>
        <w:t>metabolity przenikają do mleka ludzkiego</w:t>
      </w:r>
      <w:r w:rsidR="00C247E0" w:rsidRPr="00C247E0">
        <w:rPr>
          <w:sz w:val="18"/>
          <w:szCs w:val="18"/>
        </w:rPr>
        <w:t>.</w:t>
      </w:r>
      <w:r w:rsidR="00C247E0">
        <w:rPr>
          <w:sz w:val="18"/>
          <w:szCs w:val="18"/>
        </w:rPr>
        <w:t xml:space="preserve"> </w:t>
      </w:r>
      <w:r w:rsidR="00C247E0" w:rsidRPr="00C247E0">
        <w:rPr>
          <w:rStyle w:val="hps"/>
          <w:rFonts w:eastAsia="Arial Unicode MS"/>
          <w:sz w:val="18"/>
          <w:szCs w:val="18"/>
        </w:rPr>
        <w:t>Nie można wykluczyć</w:t>
      </w:r>
      <w:r w:rsidR="00C247E0" w:rsidRPr="00C247E0">
        <w:rPr>
          <w:sz w:val="18"/>
          <w:szCs w:val="18"/>
        </w:rPr>
        <w:t xml:space="preserve"> ryzyka </w:t>
      </w:r>
      <w:r w:rsidR="00C247E0" w:rsidRPr="00C247E0">
        <w:rPr>
          <w:rStyle w:val="hps"/>
          <w:rFonts w:eastAsia="Arial Unicode MS"/>
          <w:sz w:val="18"/>
          <w:szCs w:val="18"/>
        </w:rPr>
        <w:t>dla noworodków i niemowląt</w:t>
      </w:r>
      <w:r w:rsidR="00C247E0" w:rsidRPr="00C247E0">
        <w:rPr>
          <w:sz w:val="18"/>
          <w:szCs w:val="18"/>
        </w:rPr>
        <w:t>.</w:t>
      </w:r>
      <w:r w:rsidR="00C247E0">
        <w:rPr>
          <w:sz w:val="18"/>
          <w:szCs w:val="18"/>
        </w:rPr>
        <w:t xml:space="preserve"> </w:t>
      </w:r>
      <w:r w:rsidR="00C247E0" w:rsidRPr="00C247E0">
        <w:rPr>
          <w:rStyle w:val="hps"/>
          <w:rFonts w:eastAsia="Arial Unicode MS"/>
          <w:sz w:val="18"/>
          <w:szCs w:val="18"/>
        </w:rPr>
        <w:t>Ze względu na brak wystarczających danych</w:t>
      </w:r>
      <w:r w:rsidR="00C247E0" w:rsidRPr="00C247E0">
        <w:rPr>
          <w:sz w:val="18"/>
          <w:szCs w:val="18"/>
        </w:rPr>
        <w:t xml:space="preserve">, </w:t>
      </w:r>
      <w:r w:rsidR="00C247E0" w:rsidRPr="00C247E0">
        <w:rPr>
          <w:rStyle w:val="hps"/>
          <w:rFonts w:eastAsia="Arial Unicode MS"/>
          <w:sz w:val="18"/>
          <w:szCs w:val="18"/>
        </w:rPr>
        <w:t>stosowanie</w:t>
      </w:r>
      <w:r w:rsidR="00C247E0" w:rsidRPr="00C247E0">
        <w:rPr>
          <w:sz w:val="18"/>
          <w:szCs w:val="18"/>
        </w:rPr>
        <w:t xml:space="preserve"> produktu </w:t>
      </w:r>
      <w:proofErr w:type="spellStart"/>
      <w:r w:rsidR="00C247E0" w:rsidRPr="00C247E0">
        <w:rPr>
          <w:sz w:val="18"/>
          <w:szCs w:val="18"/>
        </w:rPr>
        <w:t>Ginkofar</w:t>
      </w:r>
      <w:proofErr w:type="spellEnd"/>
      <w:r w:rsidR="00C247E0" w:rsidRPr="00C247E0">
        <w:rPr>
          <w:rStyle w:val="hps"/>
          <w:rFonts w:eastAsia="Arial Unicode MS"/>
          <w:sz w:val="18"/>
          <w:szCs w:val="18"/>
        </w:rPr>
        <w:t xml:space="preserve"> podczas karmienia piersią nie jest zalecane.</w:t>
      </w:r>
      <w:r w:rsidR="00C247E0">
        <w:rPr>
          <w:rStyle w:val="hps"/>
          <w:rFonts w:eastAsia="Arial Unicode MS"/>
          <w:sz w:val="18"/>
          <w:szCs w:val="18"/>
        </w:rPr>
        <w:t xml:space="preserve"> </w:t>
      </w:r>
      <w:r w:rsidR="00C247E0" w:rsidRPr="00C247E0">
        <w:rPr>
          <w:sz w:val="18"/>
          <w:szCs w:val="18"/>
          <w:u w:val="single"/>
        </w:rPr>
        <w:t>Płodność</w:t>
      </w:r>
      <w:r w:rsidR="00C247E0">
        <w:rPr>
          <w:sz w:val="18"/>
          <w:szCs w:val="18"/>
          <w:u w:val="single"/>
        </w:rPr>
        <w:t>:</w:t>
      </w:r>
      <w:r w:rsidR="00C247E0">
        <w:rPr>
          <w:sz w:val="18"/>
          <w:szCs w:val="18"/>
        </w:rPr>
        <w:t xml:space="preserve"> </w:t>
      </w:r>
      <w:r w:rsidR="00C247E0" w:rsidRPr="00C247E0">
        <w:rPr>
          <w:bCs/>
          <w:sz w:val="18"/>
          <w:szCs w:val="18"/>
        </w:rPr>
        <w:t xml:space="preserve">Nie przeprowadzono u ludzi badań </w:t>
      </w:r>
      <w:r w:rsidR="00C247E0" w:rsidRPr="00C247E0">
        <w:rPr>
          <w:sz w:val="18"/>
          <w:szCs w:val="18"/>
        </w:rPr>
        <w:t>wyciągu z miłorzębu oceniających</w:t>
      </w:r>
      <w:r w:rsidR="00C247E0" w:rsidRPr="00C247E0">
        <w:rPr>
          <w:bCs/>
          <w:sz w:val="18"/>
          <w:szCs w:val="18"/>
        </w:rPr>
        <w:t xml:space="preserve"> wpływ na płodność.</w:t>
      </w:r>
      <w:r w:rsidR="00C247E0">
        <w:rPr>
          <w:bCs/>
          <w:sz w:val="18"/>
          <w:szCs w:val="18"/>
        </w:rPr>
        <w:t xml:space="preserve"> </w:t>
      </w:r>
      <w:r w:rsidR="00C247E0" w:rsidRPr="00C247E0">
        <w:rPr>
          <w:bCs/>
          <w:sz w:val="18"/>
          <w:szCs w:val="18"/>
        </w:rPr>
        <w:t>Wpływ na płodność był obserwowany w badaniu z udział</w:t>
      </w:r>
      <w:r w:rsidR="00C247E0">
        <w:rPr>
          <w:bCs/>
          <w:sz w:val="18"/>
          <w:szCs w:val="18"/>
        </w:rPr>
        <w:t>em samic myszy</w:t>
      </w:r>
      <w:r w:rsidR="00C247E0" w:rsidRPr="00C247E0">
        <w:rPr>
          <w:bCs/>
          <w:sz w:val="18"/>
          <w:szCs w:val="18"/>
        </w:rPr>
        <w:t>.</w:t>
      </w:r>
      <w:r w:rsidR="000D5BD8">
        <w:rPr>
          <w:bCs/>
          <w:sz w:val="18"/>
          <w:szCs w:val="18"/>
        </w:rPr>
        <w:t xml:space="preserve"> </w:t>
      </w:r>
      <w:r w:rsidRPr="00FC4DDA">
        <w:rPr>
          <w:b/>
          <w:bCs/>
          <w:sz w:val="18"/>
          <w:szCs w:val="22"/>
        </w:rPr>
        <w:t xml:space="preserve">Wpływ na zdolność prowadzenia pojazdów mechanicznych i obsługiwania urządzeń mechanicznych w ruchu: </w:t>
      </w:r>
      <w:r w:rsidR="000D5BD8">
        <w:rPr>
          <w:sz w:val="18"/>
          <w:szCs w:val="22"/>
        </w:rPr>
        <w:t>Nie przeprowadzono badań dotyczących wpływu na zdolność kierowania pojazdami i obsługiwania maszyn</w:t>
      </w:r>
      <w:r w:rsidRPr="00FC4DDA">
        <w:rPr>
          <w:sz w:val="18"/>
          <w:szCs w:val="22"/>
        </w:rPr>
        <w:t xml:space="preserve">. </w:t>
      </w:r>
      <w:r w:rsidRPr="00FC4DDA">
        <w:rPr>
          <w:b/>
          <w:bCs/>
          <w:sz w:val="18"/>
          <w:szCs w:val="22"/>
        </w:rPr>
        <w:t xml:space="preserve">Działania niepożądane: </w:t>
      </w:r>
      <w:r w:rsidR="0051566B" w:rsidRPr="0051566B">
        <w:rPr>
          <w:sz w:val="18"/>
          <w:szCs w:val="18"/>
        </w:rPr>
        <w:t xml:space="preserve">Częstość działań niepożądanych określono zgodnie z następującą konwencją: </w:t>
      </w:r>
    </w:p>
    <w:p w:rsidR="007F0450" w:rsidRPr="00D75886" w:rsidRDefault="0051566B" w:rsidP="00D75886">
      <w:pPr>
        <w:pStyle w:val="WW-Tekstpodstawowy3"/>
        <w:contextualSpacing/>
        <w:jc w:val="both"/>
        <w:rPr>
          <w:sz w:val="18"/>
          <w:szCs w:val="18"/>
        </w:rPr>
      </w:pPr>
      <w:r w:rsidRPr="0051566B">
        <w:rPr>
          <w:sz w:val="18"/>
          <w:szCs w:val="18"/>
        </w:rPr>
        <w:t xml:space="preserve">bardzo często (≥1/10); często (≥1/100 do &lt;1/10); niezbyt często (≥1/1000 do &lt;1/100); </w:t>
      </w:r>
      <w:r>
        <w:rPr>
          <w:sz w:val="18"/>
          <w:szCs w:val="18"/>
        </w:rPr>
        <w:t>r</w:t>
      </w:r>
      <w:r w:rsidRPr="0051566B">
        <w:rPr>
          <w:sz w:val="18"/>
          <w:szCs w:val="18"/>
        </w:rPr>
        <w:t>zadko (≥1/10 000 do &lt;1/1000); bardzo rzadko (&lt;1/10 000), częstość nieznana (nie może być określona na podstawie dostępnych danych).</w:t>
      </w:r>
      <w:r w:rsidRPr="0051566B">
        <w:rPr>
          <w:sz w:val="18"/>
          <w:szCs w:val="18"/>
          <w:u w:val="single"/>
        </w:rPr>
        <w:t>Zaburzenia krwi i układu chłonnego</w:t>
      </w:r>
      <w:r>
        <w:rPr>
          <w:sz w:val="18"/>
          <w:szCs w:val="18"/>
          <w:u w:val="single"/>
        </w:rPr>
        <w:t>:</w:t>
      </w:r>
      <w:r>
        <w:rPr>
          <w:sz w:val="18"/>
          <w:szCs w:val="18"/>
        </w:rPr>
        <w:t xml:space="preserve"> </w:t>
      </w:r>
      <w:r w:rsidRPr="0051566B">
        <w:rPr>
          <w:sz w:val="18"/>
          <w:szCs w:val="18"/>
        </w:rPr>
        <w:t>Częstość nieznana: krwawienie z poszczególnych narządów (oczu, nosa, krwotok z przewodu pokarmowego i naczyń mózgowych).</w:t>
      </w:r>
      <w:r w:rsidRPr="0051566B">
        <w:rPr>
          <w:sz w:val="18"/>
          <w:szCs w:val="18"/>
          <w:u w:val="single"/>
        </w:rPr>
        <w:t>Zaburzenia układu immunologicznego</w:t>
      </w:r>
      <w:r>
        <w:rPr>
          <w:sz w:val="18"/>
          <w:szCs w:val="18"/>
        </w:rPr>
        <w:t xml:space="preserve">: </w:t>
      </w:r>
      <w:r w:rsidRPr="0051566B">
        <w:rPr>
          <w:sz w:val="18"/>
          <w:szCs w:val="18"/>
        </w:rPr>
        <w:t>Częstość nieznana: reakcje nadwrażliwości (wstrząs alergiczny)</w:t>
      </w:r>
      <w:r>
        <w:rPr>
          <w:sz w:val="18"/>
          <w:szCs w:val="18"/>
        </w:rPr>
        <w:t xml:space="preserve">. </w:t>
      </w:r>
      <w:r w:rsidRPr="0051566B">
        <w:rPr>
          <w:sz w:val="18"/>
          <w:szCs w:val="18"/>
          <w:u w:val="single"/>
        </w:rPr>
        <w:t>Zaburzenia układu nerwowego</w:t>
      </w:r>
      <w:r>
        <w:rPr>
          <w:sz w:val="18"/>
          <w:szCs w:val="18"/>
          <w:u w:val="single"/>
        </w:rPr>
        <w:t>:</w:t>
      </w:r>
      <w:r>
        <w:rPr>
          <w:sz w:val="18"/>
          <w:szCs w:val="18"/>
        </w:rPr>
        <w:t xml:space="preserve"> </w:t>
      </w:r>
      <w:r w:rsidRPr="0051566B">
        <w:rPr>
          <w:sz w:val="18"/>
          <w:szCs w:val="18"/>
        </w:rPr>
        <w:t>Bardzo często: ból głowy</w:t>
      </w:r>
      <w:r>
        <w:rPr>
          <w:sz w:val="18"/>
          <w:szCs w:val="18"/>
        </w:rPr>
        <w:t>.</w:t>
      </w:r>
      <w:r w:rsidRPr="0051566B">
        <w:rPr>
          <w:sz w:val="18"/>
          <w:szCs w:val="18"/>
        </w:rPr>
        <w:t xml:space="preserve"> Często: zawroty głowy</w:t>
      </w:r>
      <w:r>
        <w:rPr>
          <w:sz w:val="18"/>
          <w:szCs w:val="18"/>
        </w:rPr>
        <w:t>.</w:t>
      </w:r>
      <w:r w:rsidRPr="0051566B">
        <w:rPr>
          <w:sz w:val="18"/>
          <w:szCs w:val="18"/>
        </w:rPr>
        <w:t xml:space="preserve"> </w:t>
      </w:r>
      <w:r w:rsidRPr="0051566B">
        <w:rPr>
          <w:sz w:val="18"/>
          <w:szCs w:val="18"/>
          <w:u w:val="single"/>
        </w:rPr>
        <w:t>Zaburzenia żołądka i jelit</w:t>
      </w:r>
      <w:r>
        <w:rPr>
          <w:sz w:val="18"/>
          <w:szCs w:val="18"/>
          <w:u w:val="single"/>
        </w:rPr>
        <w:t>:</w:t>
      </w:r>
      <w:r w:rsidRPr="0051566B">
        <w:rPr>
          <w:sz w:val="18"/>
          <w:szCs w:val="18"/>
          <w:u w:val="single"/>
        </w:rPr>
        <w:t xml:space="preserve"> </w:t>
      </w:r>
      <w:r w:rsidRPr="0051566B">
        <w:rPr>
          <w:sz w:val="18"/>
          <w:szCs w:val="18"/>
        </w:rPr>
        <w:t>Często: biegunka, bóle brzucha, nudności, wymioty</w:t>
      </w:r>
      <w:r>
        <w:rPr>
          <w:sz w:val="18"/>
          <w:szCs w:val="18"/>
        </w:rPr>
        <w:t>.</w:t>
      </w:r>
      <w:r w:rsidRPr="0051566B">
        <w:rPr>
          <w:sz w:val="18"/>
          <w:szCs w:val="18"/>
        </w:rPr>
        <w:t xml:space="preserve"> </w:t>
      </w:r>
      <w:r w:rsidRPr="0051566B">
        <w:rPr>
          <w:sz w:val="18"/>
          <w:szCs w:val="18"/>
          <w:u w:val="single"/>
        </w:rPr>
        <w:t>Zaburzenia skóry i tkanki podskórnej</w:t>
      </w:r>
      <w:r w:rsidRPr="0051566B">
        <w:rPr>
          <w:sz w:val="18"/>
          <w:szCs w:val="18"/>
        </w:rPr>
        <w:t>: C</w:t>
      </w:r>
      <w:r>
        <w:rPr>
          <w:sz w:val="18"/>
          <w:szCs w:val="18"/>
        </w:rPr>
        <w:t xml:space="preserve">zęstość nieznana: </w:t>
      </w:r>
      <w:r w:rsidRPr="0051566B">
        <w:rPr>
          <w:sz w:val="18"/>
          <w:szCs w:val="18"/>
        </w:rPr>
        <w:t>alergiczne reakcje skórne (rumień, obrzęk, świąd i wysypka)</w:t>
      </w:r>
      <w:r>
        <w:rPr>
          <w:sz w:val="18"/>
          <w:szCs w:val="18"/>
        </w:rPr>
        <w:t>.</w:t>
      </w:r>
      <w:r w:rsidRPr="0051566B">
        <w:rPr>
          <w:sz w:val="18"/>
          <w:szCs w:val="18"/>
        </w:rPr>
        <w:t xml:space="preserve"> </w:t>
      </w:r>
      <w:r w:rsidR="007F0450" w:rsidRPr="00FC4DDA">
        <w:rPr>
          <w:b/>
          <w:bCs/>
          <w:sz w:val="18"/>
          <w:szCs w:val="22"/>
        </w:rPr>
        <w:t xml:space="preserve">Przedawkowanie: </w:t>
      </w:r>
      <w:r w:rsidR="00941981">
        <w:rPr>
          <w:sz w:val="18"/>
          <w:szCs w:val="22"/>
        </w:rPr>
        <w:t xml:space="preserve">Brak doniesień o objawach przedawkowania wyciągu z </w:t>
      </w:r>
      <w:proofErr w:type="spellStart"/>
      <w:r w:rsidR="00941981">
        <w:rPr>
          <w:sz w:val="18"/>
          <w:szCs w:val="22"/>
        </w:rPr>
        <w:t>miłorząbu</w:t>
      </w:r>
      <w:proofErr w:type="spellEnd"/>
      <w:r w:rsidR="007F0450" w:rsidRPr="00FC4DDA">
        <w:rPr>
          <w:sz w:val="18"/>
          <w:szCs w:val="22"/>
        </w:rPr>
        <w:t xml:space="preserve">. </w:t>
      </w:r>
      <w:r w:rsidR="007F0450" w:rsidRPr="00FC4DDA">
        <w:rPr>
          <w:b/>
          <w:bCs/>
          <w:sz w:val="18"/>
          <w:szCs w:val="22"/>
        </w:rPr>
        <w:t xml:space="preserve">Podmiot odpowiedzialny: </w:t>
      </w:r>
      <w:proofErr w:type="spellStart"/>
      <w:r w:rsidR="007F0450" w:rsidRPr="00FC4DDA">
        <w:rPr>
          <w:bCs/>
          <w:sz w:val="18"/>
          <w:szCs w:val="22"/>
        </w:rPr>
        <w:t>Biofarm</w:t>
      </w:r>
      <w:proofErr w:type="spellEnd"/>
      <w:r w:rsidR="007F0450" w:rsidRPr="00FC4DDA">
        <w:rPr>
          <w:bCs/>
          <w:sz w:val="18"/>
          <w:szCs w:val="22"/>
        </w:rPr>
        <w:t xml:space="preserve"> Sp. z o.o., ul. Wałbrzyska 13, 60-198 Poznań.</w:t>
      </w:r>
      <w:r w:rsidR="007F0450" w:rsidRPr="00FC4DDA">
        <w:rPr>
          <w:b/>
          <w:bCs/>
          <w:sz w:val="18"/>
          <w:szCs w:val="22"/>
        </w:rPr>
        <w:t xml:space="preserve"> Pozwolenie na dopuszczenie do obrotu: </w:t>
      </w:r>
      <w:r w:rsidR="007F0450" w:rsidRPr="00FC4DDA">
        <w:rPr>
          <w:sz w:val="18"/>
          <w:szCs w:val="22"/>
        </w:rPr>
        <w:t>R/6770</w:t>
      </w:r>
      <w:r w:rsidR="00D75886">
        <w:rPr>
          <w:sz w:val="18"/>
          <w:szCs w:val="22"/>
        </w:rPr>
        <w:t xml:space="preserve"> (wydana przez Ministra Zdrowia)</w:t>
      </w:r>
      <w:r w:rsidR="007F0450">
        <w:rPr>
          <w:sz w:val="18"/>
          <w:szCs w:val="22"/>
        </w:rPr>
        <w:t>.</w:t>
      </w:r>
      <w:r w:rsidR="00D75886">
        <w:rPr>
          <w:sz w:val="18"/>
          <w:szCs w:val="22"/>
        </w:rPr>
        <w:t xml:space="preserve"> </w:t>
      </w:r>
      <w:r w:rsidR="00D75886" w:rsidRPr="00D75886">
        <w:rPr>
          <w:b/>
          <w:noProof/>
          <w:sz w:val="18"/>
          <w:szCs w:val="18"/>
        </w:rPr>
        <w:t>OTC</w:t>
      </w:r>
      <w:r w:rsidR="00D75886" w:rsidRPr="00D75886">
        <w:rPr>
          <w:noProof/>
          <w:sz w:val="18"/>
          <w:szCs w:val="18"/>
        </w:rPr>
        <w:t xml:space="preserve"> - Produkt leczniczy wydawany bez przepisu lekarza</w:t>
      </w:r>
      <w:r w:rsidR="007F0450" w:rsidRPr="00D75886">
        <w:rPr>
          <w:sz w:val="18"/>
          <w:szCs w:val="18"/>
        </w:rPr>
        <w:t xml:space="preserve"> </w:t>
      </w:r>
      <w:r w:rsidR="007F0450" w:rsidRPr="00D75886">
        <w:rPr>
          <w:b/>
          <w:sz w:val="18"/>
          <w:szCs w:val="18"/>
        </w:rPr>
        <w:t>Dostępne opakowania:</w:t>
      </w:r>
      <w:r w:rsidR="007F0450" w:rsidRPr="00D75886">
        <w:rPr>
          <w:sz w:val="18"/>
          <w:szCs w:val="18"/>
        </w:rPr>
        <w:t xml:space="preserve"> 20, 60, 90 tabletek powlekanych.</w:t>
      </w:r>
    </w:p>
    <w:p w:rsidR="007F0450" w:rsidRPr="00D75886" w:rsidRDefault="007F0450" w:rsidP="00D75886">
      <w:pPr>
        <w:jc w:val="both"/>
        <w:rPr>
          <w:sz w:val="18"/>
          <w:szCs w:val="18"/>
        </w:rPr>
      </w:pPr>
    </w:p>
    <w:p w:rsidR="007F0450" w:rsidRDefault="007F0450" w:rsidP="00D75886">
      <w:pPr>
        <w:jc w:val="both"/>
      </w:pPr>
    </w:p>
    <w:p w:rsidR="009A5A0F" w:rsidRDefault="009A5A0F"/>
    <w:sectPr w:rsidR="009A5A0F" w:rsidSect="005568F4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F4" w:rsidRDefault="005568F4" w:rsidP="005568F4">
      <w:r>
        <w:separator/>
      </w:r>
    </w:p>
  </w:endnote>
  <w:endnote w:type="continuationSeparator" w:id="0">
    <w:p w:rsidR="005568F4" w:rsidRDefault="005568F4" w:rsidP="0055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80" w:rsidRDefault="005568F4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3.45pt;height:14.7pt;z-index:251660288;mso-wrap-distance-left:0;mso-wrap-distance-right:0;mso-position-horizontal:center;mso-position-horizontal-relative:margin" stroked="f">
          <v:fill color2="black"/>
          <v:textbox inset="0,0,0,0">
            <w:txbxContent>
              <w:p w:rsidR="00432280" w:rsidRDefault="005568F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41981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D7588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F4" w:rsidRDefault="005568F4" w:rsidP="005568F4">
      <w:r>
        <w:separator/>
      </w:r>
    </w:p>
  </w:footnote>
  <w:footnote w:type="continuationSeparator" w:id="0">
    <w:p w:rsidR="005568F4" w:rsidRDefault="005568F4" w:rsidP="00556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214BD"/>
    <w:multiLevelType w:val="hybridMultilevel"/>
    <w:tmpl w:val="C0E00998"/>
    <w:lvl w:ilvl="0" w:tplc="5B261C2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98D645E"/>
    <w:multiLevelType w:val="multilevel"/>
    <w:tmpl w:val="931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4DD1CBD"/>
    <w:multiLevelType w:val="hybridMultilevel"/>
    <w:tmpl w:val="72CC8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F0450"/>
    <w:rsid w:val="000D5BD8"/>
    <w:rsid w:val="003153D6"/>
    <w:rsid w:val="0051566B"/>
    <w:rsid w:val="005568F4"/>
    <w:rsid w:val="006970E7"/>
    <w:rsid w:val="007F0450"/>
    <w:rsid w:val="00941981"/>
    <w:rsid w:val="009901E4"/>
    <w:rsid w:val="009A5A0F"/>
    <w:rsid w:val="009C6633"/>
    <w:rsid w:val="00A54FF0"/>
    <w:rsid w:val="00C247E0"/>
    <w:rsid w:val="00D42726"/>
    <w:rsid w:val="00D658D8"/>
    <w:rsid w:val="00D7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F0450"/>
    <w:pPr>
      <w:keepNext/>
      <w:numPr>
        <w:ilvl w:val="3"/>
        <w:numId w:val="4"/>
      </w:numPr>
      <w:outlineLvl w:val="3"/>
    </w:pPr>
    <w:rPr>
      <w:rFonts w:eastAsia="Arial Unicode MS"/>
      <w:b/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F0450"/>
    <w:rPr>
      <w:rFonts w:ascii="Times New Roman" w:eastAsia="Arial Unicode MS" w:hAnsi="Times New Roman" w:cs="Times New Roman"/>
      <w:b/>
      <w:sz w:val="32"/>
      <w:szCs w:val="24"/>
      <w:lang w:val="de-DE" w:eastAsia="ar-SA"/>
    </w:rPr>
  </w:style>
  <w:style w:type="character" w:styleId="Numerstrony">
    <w:name w:val="page number"/>
    <w:basedOn w:val="Domylnaczcionkaakapitu"/>
    <w:rsid w:val="007F0450"/>
  </w:style>
  <w:style w:type="paragraph" w:styleId="Stopka">
    <w:name w:val="footer"/>
    <w:basedOn w:val="Normalny"/>
    <w:link w:val="StopkaZnak"/>
    <w:rsid w:val="007F0450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rsid w:val="007F045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153D6"/>
    <w:pPr>
      <w:ind w:left="720"/>
      <w:contextualSpacing/>
    </w:pPr>
  </w:style>
  <w:style w:type="character" w:customStyle="1" w:styleId="hps">
    <w:name w:val="hps"/>
    <w:uiPriority w:val="99"/>
    <w:rsid w:val="00A54FF0"/>
  </w:style>
  <w:style w:type="paragraph" w:customStyle="1" w:styleId="WW-Tekstpodstawowywcity2">
    <w:name w:val="WW-Tekst podstawowy wcięty 2"/>
    <w:basedOn w:val="Normalny"/>
    <w:uiPriority w:val="99"/>
    <w:rsid w:val="00C247E0"/>
    <w:pPr>
      <w:ind w:left="709"/>
      <w:jc w:val="both"/>
    </w:pPr>
    <w:rPr>
      <w:sz w:val="26"/>
      <w:szCs w:val="20"/>
    </w:rPr>
  </w:style>
  <w:style w:type="paragraph" w:customStyle="1" w:styleId="WW-Tekstpodstawowy3">
    <w:name w:val="WW-Tekst podstawowy 3"/>
    <w:basedOn w:val="Normalny"/>
    <w:uiPriority w:val="99"/>
    <w:rsid w:val="0051566B"/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904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Aleksandra.Hoffmann</dc:creator>
  <cp:lastModifiedBy>justyna.stolas</cp:lastModifiedBy>
  <cp:revision>13</cp:revision>
  <dcterms:created xsi:type="dcterms:W3CDTF">2016-09-23T06:55:00Z</dcterms:created>
  <dcterms:modified xsi:type="dcterms:W3CDTF">2017-10-17T06:29:00Z</dcterms:modified>
</cp:coreProperties>
</file>